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B7536B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September 13</w:t>
      </w:r>
      <w:r w:rsidR="001B6B9C" w:rsidRPr="003A1914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043FC6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. on </w:t>
      </w:r>
      <w:r w:rsidR="00B7536B">
        <w:rPr>
          <w:rFonts w:asciiTheme="minorHAnsi" w:hAnsiTheme="minorHAnsi" w:cs="Calibri Light"/>
          <w:sz w:val="20"/>
          <w:szCs w:val="20"/>
        </w:rPr>
        <w:t>September 13</w:t>
      </w:r>
      <w:r w:rsidR="001B6B9C" w:rsidRPr="00C1499E">
        <w:rPr>
          <w:rFonts w:asciiTheme="minorHAnsi" w:hAnsiTheme="minorHAnsi" w:cs="Calibri Light"/>
          <w:sz w:val="20"/>
          <w:szCs w:val="20"/>
        </w:rPr>
        <w:t>, 2021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00243A">
        <w:rPr>
          <w:rFonts w:asciiTheme="minorHAnsi" w:hAnsiTheme="minorHAnsi" w:cs="Calibri Light"/>
          <w:sz w:val="20"/>
          <w:szCs w:val="20"/>
        </w:rPr>
        <w:t xml:space="preserve"> </w:t>
      </w:r>
      <w:r w:rsidR="00B7536B">
        <w:rPr>
          <w:rFonts w:asciiTheme="minorHAnsi" w:hAnsiTheme="minorHAnsi" w:cs="Calibri Light"/>
          <w:sz w:val="20"/>
          <w:szCs w:val="20"/>
        </w:rPr>
        <w:t xml:space="preserve">District Administration Office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1A02DB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>
        <w:rPr>
          <w:rFonts w:asciiTheme="minorHAnsi" w:hAnsiTheme="minorHAnsi" w:cs="Calibri Light"/>
          <w:sz w:val="20"/>
          <w:szCs w:val="20"/>
        </w:rPr>
        <w:t>Alexia Klinkhammer</w:t>
      </w:r>
      <w:r w:rsidR="00043FC6">
        <w:rPr>
          <w:rFonts w:asciiTheme="minorHAnsi" w:hAnsiTheme="minorHAnsi" w:cs="Calibri Light"/>
          <w:sz w:val="20"/>
          <w:szCs w:val="20"/>
        </w:rPr>
        <w:t>,</w:t>
      </w:r>
      <w:r w:rsidR="001A02DB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>
        <w:rPr>
          <w:rFonts w:asciiTheme="minorHAnsi" w:hAnsiTheme="minorHAnsi" w:cs="Calibri Light"/>
          <w:sz w:val="20"/>
          <w:szCs w:val="20"/>
        </w:rPr>
        <w:t xml:space="preserve"> and </w:t>
      </w:r>
      <w:r w:rsidR="00C94361">
        <w:rPr>
          <w:rFonts w:asciiTheme="minorHAnsi" w:hAnsiTheme="minorHAnsi" w:cs="Calibri Light"/>
          <w:sz w:val="20"/>
          <w:szCs w:val="20"/>
        </w:rPr>
        <w:t>Amanda Kayser</w:t>
      </w:r>
      <w:r w:rsidRPr="00F04D3E">
        <w:rPr>
          <w:rFonts w:asciiTheme="minorHAnsi" w:hAnsiTheme="minorHAnsi" w:cs="Calibri Light"/>
          <w:sz w:val="20"/>
          <w:szCs w:val="20"/>
        </w:rPr>
        <w:t>.</w:t>
      </w:r>
      <w:r w:rsidR="008C4AFD">
        <w:rPr>
          <w:rFonts w:asciiTheme="minorHAnsi" w:hAnsiTheme="minorHAnsi" w:cs="Calibri Light"/>
          <w:sz w:val="20"/>
          <w:szCs w:val="20"/>
        </w:rPr>
        <w:t xml:space="preserve">  Absent: Paula Hawks.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DF56A3" w:rsidP="00F578F7">
      <w:pPr>
        <w:rPr>
          <w:rFonts w:asciiTheme="minorHAnsi" w:hAnsiTheme="minorHAnsi" w:cs="Calibri Light"/>
          <w:sz w:val="20"/>
          <w:szCs w:val="20"/>
        </w:rPr>
      </w:pPr>
      <w:r w:rsidRPr="007A1AA4">
        <w:rPr>
          <w:rFonts w:asciiTheme="minorHAnsi" w:hAnsiTheme="minorHAnsi" w:cs="Calibri Light"/>
          <w:sz w:val="20"/>
          <w:szCs w:val="20"/>
        </w:rPr>
        <w:t>Also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CD25B2">
        <w:rPr>
          <w:rFonts w:asciiTheme="minorHAnsi" w:hAnsiTheme="minorHAnsi" w:cs="Calibri Light"/>
          <w:sz w:val="20"/>
          <w:szCs w:val="20"/>
        </w:rPr>
        <w:t xml:space="preserve"> Principals</w:t>
      </w:r>
      <w:r w:rsidR="00567171">
        <w:rPr>
          <w:rFonts w:asciiTheme="minorHAnsi" w:hAnsiTheme="minorHAnsi" w:cs="Calibri Light"/>
          <w:sz w:val="20"/>
          <w:szCs w:val="20"/>
        </w:rPr>
        <w:t>:</w:t>
      </w:r>
      <w:r w:rsidR="00CD25B2">
        <w:rPr>
          <w:rFonts w:asciiTheme="minorHAnsi" w:hAnsiTheme="minorHAnsi" w:cs="Calibri Light"/>
          <w:sz w:val="20"/>
          <w:szCs w:val="20"/>
        </w:rPr>
        <w:t xml:space="preserve"> Ashley Bahrenfuss, Amy Johnson,</w:t>
      </w:r>
      <w:r w:rsidR="008C4AFD">
        <w:rPr>
          <w:rFonts w:asciiTheme="minorHAnsi" w:hAnsiTheme="minorHAnsi" w:cs="Calibri Light"/>
          <w:sz w:val="20"/>
          <w:szCs w:val="20"/>
        </w:rPr>
        <w:t xml:space="preserve"> Mark Rockafellow,</w:t>
      </w:r>
      <w:r w:rsidR="00CD25B2">
        <w:rPr>
          <w:rFonts w:asciiTheme="minorHAnsi" w:hAnsiTheme="minorHAnsi" w:cs="Calibri Light"/>
          <w:sz w:val="20"/>
          <w:szCs w:val="20"/>
        </w:rPr>
        <w:t xml:space="preserve"> </w:t>
      </w:r>
      <w:r w:rsidR="00C94361">
        <w:rPr>
          <w:rFonts w:asciiTheme="minorHAnsi" w:hAnsiTheme="minorHAnsi" w:cs="Calibri Light"/>
          <w:sz w:val="20"/>
          <w:szCs w:val="20"/>
        </w:rPr>
        <w:t>and Andrew Barron</w:t>
      </w:r>
      <w:r w:rsidR="00CD25B2">
        <w:rPr>
          <w:rFonts w:asciiTheme="minorHAnsi" w:hAnsiTheme="minorHAnsi" w:cs="Calibri Light"/>
          <w:sz w:val="20"/>
          <w:szCs w:val="20"/>
        </w:rPr>
        <w:t>;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Special Services Director</w:t>
      </w:r>
      <w:r w:rsidRPr="007A1AA4">
        <w:rPr>
          <w:rFonts w:asciiTheme="minorHAnsi" w:hAnsiTheme="minorHAnsi" w:cs="Calibri Light"/>
          <w:sz w:val="20"/>
          <w:szCs w:val="20"/>
        </w:rPr>
        <w:t xml:space="preserve"> Michelle Becker</w:t>
      </w:r>
      <w:r w:rsidR="00567171">
        <w:rPr>
          <w:rFonts w:asciiTheme="minorHAnsi" w:hAnsiTheme="minorHAnsi" w:cs="Calibri Light"/>
          <w:sz w:val="20"/>
          <w:szCs w:val="20"/>
        </w:rPr>
        <w:t>,</w:t>
      </w:r>
      <w:r w:rsidR="005004F0">
        <w:rPr>
          <w:rFonts w:asciiTheme="minorHAnsi" w:hAnsiTheme="minorHAnsi" w:cs="Calibri Light"/>
          <w:sz w:val="20"/>
          <w:szCs w:val="20"/>
        </w:rPr>
        <w:t xml:space="preserve"> </w:t>
      </w:r>
      <w:r w:rsidR="00CD25B2">
        <w:rPr>
          <w:rFonts w:asciiTheme="minorHAnsi" w:hAnsiTheme="minorHAnsi" w:cs="Calibri Light"/>
          <w:sz w:val="20"/>
          <w:szCs w:val="20"/>
        </w:rPr>
        <w:t>Technology Director Chris Waltner</w:t>
      </w:r>
      <w:r w:rsidR="00567171">
        <w:rPr>
          <w:rFonts w:asciiTheme="minorHAnsi" w:hAnsiTheme="minorHAnsi" w:cs="Calibri Light"/>
          <w:sz w:val="20"/>
          <w:szCs w:val="20"/>
        </w:rPr>
        <w:t>,</w:t>
      </w:r>
      <w:r w:rsidR="00CD25B2">
        <w:rPr>
          <w:rFonts w:asciiTheme="minorHAnsi" w:hAnsiTheme="minorHAnsi" w:cs="Calibri Light"/>
          <w:sz w:val="20"/>
          <w:szCs w:val="20"/>
        </w:rPr>
        <w:t xml:space="preserve"> </w:t>
      </w:r>
      <w:r w:rsidR="007C0BBF">
        <w:rPr>
          <w:rFonts w:asciiTheme="minorHAnsi" w:hAnsiTheme="minorHAnsi" w:cs="Calibri Light"/>
          <w:sz w:val="20"/>
          <w:szCs w:val="20"/>
        </w:rPr>
        <w:t xml:space="preserve">Curriculum Coordinator Carrie Schaefers,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04602E" w:rsidRPr="0004602E" w:rsidRDefault="0004602E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0004602E">
        <w:rPr>
          <w:rFonts w:asciiTheme="minorHAnsi" w:hAnsiTheme="minorHAnsi" w:cs="Calibri Light"/>
          <w:b/>
          <w:bCs/>
          <w:sz w:val="20"/>
          <w:szCs w:val="20"/>
          <w:u w:val="single"/>
        </w:rPr>
        <w:t>Open Forum</w:t>
      </w:r>
    </w:p>
    <w:p w:rsidR="00CD25B2" w:rsidRDefault="008C4AFD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Technology Direc</w:t>
      </w:r>
      <w:r w:rsidR="00E46954">
        <w:rPr>
          <w:rFonts w:asciiTheme="minorHAnsi" w:hAnsiTheme="minorHAnsi" w:cs="Calibri Light"/>
          <w:sz w:val="20"/>
          <w:szCs w:val="20"/>
        </w:rPr>
        <w:t>tor Chris Waltner gave an update on the use of board room technology equipment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AB0D67" w:rsidRDefault="00AB0D67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520539">
        <w:rPr>
          <w:rFonts w:asciiTheme="minorHAnsi" w:hAnsiTheme="minorHAnsi" w:cs="Calibri Light"/>
          <w:sz w:val="20"/>
          <w:szCs w:val="20"/>
        </w:rPr>
        <w:t>6:</w:t>
      </w:r>
      <w:r w:rsidR="00894262">
        <w:rPr>
          <w:rFonts w:asciiTheme="minorHAnsi" w:hAnsiTheme="minorHAnsi" w:cs="Calibri Light"/>
          <w:sz w:val="20"/>
          <w:szCs w:val="20"/>
        </w:rPr>
        <w:t>03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871155" w:rsidRDefault="00871155" w:rsidP="00871155">
      <w:pPr>
        <w:rPr>
          <w:rFonts w:asciiTheme="minorHAnsi" w:hAnsiTheme="minorHAnsi" w:cs="Calibri Light"/>
          <w:sz w:val="20"/>
          <w:szCs w:val="20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</w:rPr>
        <w:t>Action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2</w:t>
      </w:r>
      <w:r w:rsidR="005149A0">
        <w:rPr>
          <w:rFonts w:asciiTheme="minorHAnsi" w:hAnsiTheme="minorHAnsi" w:cs="Calibri Light"/>
          <w:b/>
          <w:bCs/>
          <w:sz w:val="20"/>
          <w:szCs w:val="20"/>
        </w:rPr>
        <w:t>2-0</w:t>
      </w:r>
      <w:r w:rsidR="00520539">
        <w:rPr>
          <w:rFonts w:asciiTheme="minorHAnsi" w:hAnsiTheme="minorHAnsi" w:cs="Calibri Light"/>
          <w:b/>
          <w:bCs/>
          <w:sz w:val="20"/>
          <w:szCs w:val="20"/>
        </w:rPr>
        <w:t>34</w:t>
      </w:r>
      <w:r>
        <w:rPr>
          <w:rFonts w:asciiTheme="minorHAnsi" w:hAnsiTheme="minorHAnsi" w:cs="Calibri Light"/>
          <w:sz w:val="20"/>
          <w:szCs w:val="20"/>
        </w:rPr>
        <w:t xml:space="preserve"> Motion by</w:t>
      </w:r>
      <w:r w:rsidR="00894262">
        <w:rPr>
          <w:rFonts w:asciiTheme="minorHAnsi" w:hAnsiTheme="minorHAnsi" w:cs="Calibri Light"/>
          <w:sz w:val="20"/>
          <w:szCs w:val="20"/>
        </w:rPr>
        <w:t xml:space="preserve"> Klinkhammer, second by Kayser</w:t>
      </w:r>
      <w:r>
        <w:rPr>
          <w:rFonts w:asciiTheme="minorHAnsi" w:hAnsiTheme="minorHAnsi" w:cs="Calibri Light"/>
          <w:sz w:val="20"/>
          <w:szCs w:val="20"/>
        </w:rPr>
        <w:t xml:space="preserve"> to </w:t>
      </w:r>
      <w:r w:rsidR="00567171">
        <w:rPr>
          <w:rFonts w:asciiTheme="minorHAnsi" w:hAnsiTheme="minorHAnsi" w:cs="Calibri Light"/>
          <w:sz w:val="20"/>
          <w:szCs w:val="20"/>
        </w:rPr>
        <w:t>adopt the agenda.</w:t>
      </w:r>
    </w:p>
    <w:p w:rsidR="00871155" w:rsidRDefault="00871155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14ACB764" w:rsidRDefault="14ACB76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Approve the Minutes</w:t>
      </w:r>
    </w:p>
    <w:p w:rsidR="00421ABF" w:rsidRDefault="00F24D7B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</w:t>
      </w:r>
      <w:r w:rsidR="00871155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000218B7">
        <w:rPr>
          <w:rFonts w:asciiTheme="minorHAnsi" w:hAnsiTheme="minorHAnsi" w:cs="Calibri Light"/>
          <w:b/>
          <w:bCs/>
          <w:sz w:val="20"/>
          <w:szCs w:val="20"/>
        </w:rPr>
        <w:t>-035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14ACB764" w:rsidRPr="7A43B6A3">
        <w:rPr>
          <w:rFonts w:asciiTheme="minorHAnsi" w:hAnsiTheme="minorHAnsi" w:cs="Calibri Light"/>
          <w:sz w:val="20"/>
          <w:szCs w:val="20"/>
        </w:rPr>
        <w:t>Motion</w:t>
      </w:r>
      <w:r w:rsidR="004B273C">
        <w:rPr>
          <w:rFonts w:asciiTheme="minorHAnsi" w:hAnsiTheme="minorHAnsi" w:cs="Calibri Light"/>
          <w:sz w:val="20"/>
          <w:szCs w:val="20"/>
        </w:rPr>
        <w:t xml:space="preserve"> </w:t>
      </w:r>
      <w:r w:rsidR="00871155">
        <w:rPr>
          <w:rFonts w:asciiTheme="minorHAnsi" w:hAnsiTheme="minorHAnsi" w:cs="Calibri Light"/>
          <w:sz w:val="20"/>
          <w:szCs w:val="20"/>
        </w:rPr>
        <w:t xml:space="preserve">by </w:t>
      </w:r>
      <w:r w:rsidR="00392CC5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952E2B">
        <w:rPr>
          <w:rFonts w:asciiTheme="minorHAnsi" w:hAnsiTheme="minorHAnsi" w:cs="Calibri Light"/>
          <w:sz w:val="20"/>
          <w:szCs w:val="20"/>
        </w:rPr>
        <w:t xml:space="preserve">to approve the meeting minutes from </w:t>
      </w:r>
      <w:r w:rsidR="000218B7">
        <w:rPr>
          <w:rFonts w:asciiTheme="minorHAnsi" w:hAnsiTheme="minorHAnsi" w:cs="Calibri Light"/>
          <w:sz w:val="20"/>
          <w:szCs w:val="20"/>
        </w:rPr>
        <w:t>August 10, 2021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5149A0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836B96">
        <w:rPr>
          <w:rFonts w:asciiTheme="minorHAnsi" w:hAnsiTheme="minorHAnsi" w:cs="Calibri Light"/>
          <w:b/>
          <w:bCs/>
          <w:sz w:val="20"/>
          <w:szCs w:val="20"/>
        </w:rPr>
        <w:t>36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871155">
        <w:rPr>
          <w:rFonts w:asciiTheme="minorHAnsi" w:hAnsiTheme="minorHAnsi" w:cs="Calibri Light"/>
          <w:sz w:val="20"/>
          <w:szCs w:val="20"/>
        </w:rPr>
        <w:t xml:space="preserve"> by</w:t>
      </w:r>
      <w:r w:rsidR="009D6B5D">
        <w:rPr>
          <w:rFonts w:asciiTheme="minorHAnsi" w:hAnsiTheme="minorHAnsi" w:cs="Calibri Light"/>
          <w:sz w:val="20"/>
          <w:szCs w:val="20"/>
        </w:rPr>
        <w:t xml:space="preserve"> Eich, second by Klinkhammer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836B96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836B96" w:rsidRDefault="00836B96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CLAIM REPORT:</w:t>
      </w:r>
    </w:p>
    <w:p w:rsidR="00293BE9" w:rsidRPr="00A627A3" w:rsidRDefault="00293BE9" w:rsidP="00A627A3">
      <w:pPr>
        <w:pStyle w:val="ListParagraph"/>
        <w:rPr>
          <w:rFonts w:ascii="Calibri" w:hAnsi="Calibri" w:cs="Calibri"/>
          <w:color w:val="000000"/>
          <w:sz w:val="20"/>
          <w:szCs w:val="20"/>
        </w:rPr>
      </w:pPr>
      <w:r w:rsidRPr="00293BE9">
        <w:rPr>
          <w:rFonts w:ascii="Calibri" w:hAnsi="Calibri" w:cs="Calibri"/>
          <w:bCs/>
          <w:sz w:val="20"/>
          <w:szCs w:val="20"/>
        </w:rPr>
        <w:t>VENDOR, DESCRIPTION, AMOUNT</w:t>
      </w:r>
      <w:r w:rsidRPr="00293BE9">
        <w:rPr>
          <w:sz w:val="20"/>
          <w:szCs w:val="20"/>
        </w:rPr>
        <w:t xml:space="preserve"> </w:t>
      </w:r>
      <w:r w:rsidRPr="00293BE9">
        <w:rPr>
          <w:rFonts w:ascii="Calibri" w:hAnsi="Calibri" w:cs="Calibri"/>
          <w:bCs/>
          <w:sz w:val="20"/>
          <w:szCs w:val="20"/>
          <w:u w:val="single"/>
        </w:rPr>
        <w:t xml:space="preserve">GENERAL CHECKING, </w:t>
      </w:r>
      <w:r w:rsidRPr="00293BE9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293BE9">
        <w:rPr>
          <w:rFonts w:ascii="Calibri" w:hAnsi="Calibri" w:cs="Calibri"/>
          <w:sz w:val="20"/>
          <w:szCs w:val="20"/>
        </w:rPr>
        <w:t xml:space="preserve">A-1 Portable Toilets, Portable Toilet Rental, $392.00 A1 Electric Plumbing Heat &amp; Air, District Wide Maintenance, $13,485.80 Achor, Luke, Soccer Official, $110.00 Amazon Business, HS Choir Supplies, $3,561.20 ARS A Tecta American Company LLC, K5 Roof Repair, $433.67 Association School Board of South Dakota, 2021 ASBSD-SASD Convention, $1,625.00 ATS LLC, Pupil Transit Repair/Maintenance, $9,434.79 Automatic Building Controls Inc, Annual Checkout Fire Alarm System, $4,361.00 Band Shoppe, Marching Band Supplies, $767.55 Best Western Ramkota Rapid City, Travel Lodging, $1,815.00 BIO Corporation, HS Life Sciences Order, $1,286.11 Blick Art Material LLC, Art Supplies, $680.68 Buenrostro, Jose, Soccer Official, $201.48 Building Sprinkler Inc, Fire Sprinkler Inspection, $650.00 CC&amp;F Retail Inc, Student Transit Diesel Fuel, $269.60 Center for American Indian Research &amp; Native Studies, HS Native American Studies Supplies, $389.93 Center for Civic Education, HS Civics Books, $724.90 Century Business Products Inc, Print Management, $716.75 Chesterman Co, Concession Order, $2,401.81 City Of Hartford, Water &amp; Sewer, $4,285.59 Coffee Cup Fuel Stops, Student Transit Diesel Fuel, $1,846.87 Computer Supply People LLC, HUEL Administration </w:t>
      </w:r>
      <w:r w:rsidRPr="00293BE9">
        <w:rPr>
          <w:rFonts w:ascii="Calibri" w:hAnsi="Calibri" w:cs="Calibri"/>
          <w:sz w:val="20"/>
          <w:szCs w:val="20"/>
        </w:rPr>
        <w:lastRenderedPageBreak/>
        <w:t xml:space="preserve">Supplies, $1,619.85 Comsearch, Microwave Frequency Protection Service, $450.00 Concord Theatricals Corp, Scripts for Fall Play, $210.75 Cressman Sanitation Inc, Garbage Services, $1,025.00 Culligan oF Sioux Falls, K5 Purified Salt, $401.00 Dakota Potters Supply LLC, Clay and Glazes, $278.68 DCI, Finger Printing / Background Check, $129.75 Decker Equipment / School Fix, District Supplies, $235.17 Demco, District Library Supplies, $427.89 Diamond Vogel Paints, Field Paint/Grounds Supplies, $238.82 Dust-Tex Service Inc, Cleaning Service Custodial Supplies, $167.81 Flinn Scientific Inc, HS Science Supplies, $1,103.00 Ford Sign Inc, HS Signs, $136.00 Fox Printing &amp; Graphic Inc, MS Map Laminating Project, $266.54, G &amp; R Controls Inc, K5 Maintenance, $10,918.92 Gillespie Small Engine, Grounds Repair, $369.97 Golden West Telecommunications, Communication Expense, $1,592.75 GRAHAM TIRE, Student Trans Tires, $4,179.52 Green, Vincent, Varsity Volleyball Official, $125.00 Hartford Ace Hardware, Grounds Supplies, $1,939.70 Hartford Building Center, Maintenance Supplies, $430.81 Hartford Pizza Ranch, New Staff Luncheon Food Purchased, $469.20 Hauff Mid-America Sports Inc, HS Boys Golf Medals, $423.55 Hauglid, Thomas, Varsity Football Official, $125.00 Heartland Natural Gas LLC, Natural Gas HAEL, $1,293.57 Henry Schein Inc, Athletic Training Supplies &amp; Equipment, $2,688.04 HIEB, MATTHEW, Varsity Football Official, $143.48 High Plains Technology Inc, Managed services for switching &amp; wifi, $244.50 High Point Networks LLC, More Phones - HS/MS, $4,874.00 Hillyard Inc, Custodial Supplies, $1,051.63 Hoey, Daniel, Mileage Reimbursement, $1,277.33 Holmstrom, Theodore, MS Course Training, $35.00 Infiinite Campus Inc, 3-5 standards upload, $600.00 Innovative Office Solutions LLC, HS Maintenance Supplies, $7,046.47 Interstate All Battery Center, HS Supplies, $48.63 Jakowicz, Jurek, Soccer Official, $130.00 JC Whitlam Manufacturing Company, Field Markers, $458.00 Jostens Inc, Yearbook Printing, $4,351.06 Kapco, District Library Supplies, $1,040.65 KROPUENSKE, KEITH, Varsity Football Official, $125.00 Kuta Software LLC, Software for Worksheet Creation, $233.00 Marco Technologies LLC, Technology Supplies, $1,370.19 Maximum Promotions Inc, Girls Track Champ Banner, $213.00 McCormick's Group LLC, Marching Band Prop, $476.20 McCoy, Brenda, Reimbursement Custodial Uniform, $50.00 McCrossan Boys Ranch, August 2021 Tuition, $994.84 Menards Inc, District Supplies, $1,171.09 MidAmerican Energy Company, Gas Usage Charges, $460.17 Midwest Bus Parts Inc, Student Transit Repair Supplies, $74.53 Moc-Floyd Valley Band Parents, HS Band Registration, $200.00 Napa Auto Parts Of Hartford, Shop Supplies, $143.00 Nasco, MS Science Learning Material, $429.49 National FFA Organization, FFA Supplies, $380.00 New Century Press Inc, Publication, $422.04 NOLZ, TYLER, Varsity Football Official, $125.00 Orkin LLC, Building Pest Control Services, $210.42 Parker School District, Marching Band Registration and Clinic, $80.00 Pheasantland Industries, MS Curriculum Books, $923.16 Pitsco Inc, Tech for Non-Trad Classes, $927.50 Popplers Music, MS Band Supplies, $49.99 Purchase Power, Ink Cartridge, $72.58 PUTHOFF, KIMBERLEE, Insurance Refund, $48.24 RBS SANITATION, INC., Garbage Services, $363.22 Realityworks Inc, HS Early Childhood Supplies, $826.56 Really Good Stuff LLC, K2 Classroom Supplies, $458.57 Really Great Reading Company LLC, K-2 Training, $316.00 Riddell All American, HS FB Equipment, $2,829.23 Roto- Rooter Sewer - Drain Service, Repairs &amp; Maintenance, $233.00 Sanford Health Occcupational Medicine Clinic, Dot Exam, $75.00 Sanford Health Plan, FSA / HSA Participation Fees, $75.90 Schaefers, Carrie, Mileage Reimbursement, $63.00 Scholastic Inc, K5 K-2 Magazines, $451.61 School Health Corporation, K5 PE Supplies, $570.39 School Specialty LLC, HS Science Supplies, $4,852.36 Sioux Falls Rubber Stamp, Name Plates, $102.24 Sioux Falls School District 49-5, Laminating Film, $773.61 Sioux Valley Energy, Electric Bill, $52,820.00 Soccer Master, Girls Soccer Supplies, $303.86 Software Unlimited Inc, SUI Training, $50.00 South Dakota Speech-Language-Hearing Association, SDSLHA Advertising, $125.00SSP INC, HS Locks, $1,532.41 STOLL, ERIC, Varsity Football Official, $125.00 Subway of Hartford, Registration Day Staff Meals, $200.00 Sweetwater Sound, Wireless Microphone System, $789.00 Tammen Auto &amp; Tire Inc, Student Transit Repairs Maintenance, $138.13 Teachwell Solutions, Career Development, $18,000.00, TMS Inc, Annual Software Support &amp; Subscription, $3,765.00 Town Of Humboldt, Water/Sewer/Natural Gas Usage, $730.42 Townsquare Media-Sioux Falls, Employment Ads, $5,040.00 United Laboratories Inc, Custodial Supplies, $612.48 University Of Oregon, SWIS Annual License Renewal, $700.00 US Math Recovery Council®, Add+VantageMR® (AVMR) Course 1, $2,985.00 Verizon Wireless, Cellular Expenses, $291.52 Wall Lake Oil, Maintenance Fuel, $571.14 Waltner, Christopher, Shipping Reimbursement, $26.24 WARD'S SCIENCE, MS Science Curriculum, $626.43 West Central Custodial Checking, Yellow Bus Reimb for Soccer Charter, $2,568.00 West Central Food Services, Staff In Service Food, $715.59 Wet Rhino, LLC, Student Transportation Bus Washes, $585.00, Whitsell, Brad, Varsity Volleyball Official, $143.48 Wiliam V MacGill </w:t>
      </w:r>
      <w:r w:rsidRPr="00293BE9">
        <w:rPr>
          <w:rFonts w:ascii="Calibri" w:hAnsi="Calibri" w:cs="Calibri"/>
          <w:sz w:val="20"/>
          <w:szCs w:val="20"/>
        </w:rPr>
        <w:lastRenderedPageBreak/>
        <w:t>Co, District Wide Health Supplies, $303.30, GENERAL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$216,903.90 </w:t>
      </w:r>
      <w:r w:rsidRPr="00293BE9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293BE9">
        <w:rPr>
          <w:sz w:val="20"/>
          <w:szCs w:val="20"/>
        </w:rPr>
        <w:t xml:space="preserve"> </w:t>
      </w:r>
      <w:r w:rsidRPr="00293BE9">
        <w:rPr>
          <w:rFonts w:ascii="Calibri" w:hAnsi="Calibri" w:cs="Calibri"/>
          <w:sz w:val="20"/>
          <w:szCs w:val="20"/>
        </w:rPr>
        <w:t>APPLE INC. EDUCATION, 1:1 - New Devices &amp; Sleeves, $216,230.00</w:t>
      </w:r>
      <w:r w:rsidRPr="00293BE9">
        <w:rPr>
          <w:sz w:val="20"/>
          <w:szCs w:val="20"/>
        </w:rPr>
        <w:t xml:space="preserve"> </w:t>
      </w:r>
      <w:r w:rsidRPr="00293BE9">
        <w:rPr>
          <w:rFonts w:ascii="Calibri" w:hAnsi="Calibri" w:cs="Calibri"/>
          <w:sz w:val="20"/>
          <w:szCs w:val="20"/>
        </w:rPr>
        <w:t>Barnes &amp; Noble Booksellers Inc, MS Library Books, $1,241.87</w:t>
      </w:r>
      <w:r w:rsidRPr="00293BE9">
        <w:rPr>
          <w:sz w:val="20"/>
          <w:szCs w:val="20"/>
        </w:rPr>
        <w:t xml:space="preserve"> </w:t>
      </w:r>
      <w:r w:rsidRPr="00293BE9">
        <w:rPr>
          <w:rFonts w:ascii="Calibri" w:hAnsi="Calibri" w:cs="Calibri"/>
          <w:sz w:val="20"/>
          <w:szCs w:val="20"/>
        </w:rPr>
        <w:t>CDW Government LLC, iPad Keyboard Cases, $62,972.00 CO-OP Architecture, Facility Study, $3,877.78 Ernster Granite Quartz &amp; Tile, HS Commons Area Floor Tiling, $61,908.21 Heinemann Restoration Inc, HS Tuckpointing, $16,000.00 High Plains Technology Inc, Epson Projector Project - 2020, $1,199.00 Innovative Office Solutions LLC, AV cart for New Gym, $52,951.96, JSA Consulting Engineers/Land Surveyors Inc, Surveying Services Agreement, $9,456.00 KOCH HAZARD ARCHITECTS, Building Improvements, $3,878.25 Learning A-Z LLC, Raz Plus.com - 12 classroom licenses, $6,156.00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Pheasantland Industries, WC Elementary School Books &amp; Copies, $7,771.44 Riddell All American, HS FB Equipment, $2,160.00 Riverside Technologies Inc, Screen protectors for new IPads, $6,375.00 Shurley Instructional Material Inc, ELA for MS, $12,060.45 UZBL LLC, Non-Keyboard Cases, $6,694.65 Wells Fargo Vendor Financial Services LLC, Copier Lease, $1,750.84  CAPITAL OUTLAY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$472,683.45 </w:t>
      </w:r>
      <w:r w:rsidRPr="00293BE9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293BE9">
        <w:rPr>
          <w:rFonts w:ascii="Calibri" w:hAnsi="Calibri" w:cs="Calibri"/>
          <w:sz w:val="20"/>
          <w:szCs w:val="20"/>
        </w:rPr>
        <w:t>ABAeCARE, LLC, Therapy Services, $5,619.77 Amazon Business, Admin Supplies, $443.06 Association School Board of South Dakota, 2021 ASBSD-SASD Convention, $185.00 Autism Behavioral Consulting LLC, HS Speech Therapy, $360.00 Century Business Products Inc, Print Management, $0.00 Ellwein, Tracee, Physical Therapy Mileage, $980.91 Golden West Telecommunications, Communication Expense, $164.48 Lakeshore Learning Materials, K2 Special Education Material, $929.13 Lifescape, Tuition / Therapy Services5, $15,317.00 MHS Inc, PreK-12 Special Education Testing, $510.00 Riverside Insights, MS Special Education Testing Material, $380.83 SD Dept Of Human Services, HS Tuition Fee, $2,476.64 Sioux Falls Rubber Stamp, Name Plates, $23.11 Southeast Area Cooperative, Medicaid Billing, $1,753.62 Talent Assessment, Inc, PAES Lab Supplies, $8,640.00 Teachwell Solutions, Prosper Services, $61,253.50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Volunteers Of America - Dakotas, HS Tuition Fee, $896.21 Wheelchair Express Sioux Falls, Student Transit Carrier, $1,530.00 Wooters, Julie, Occupational Therapy Services, $2,236.00 SPECIAL EDUCATION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$103,699.26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293BE9">
        <w:rPr>
          <w:rFonts w:ascii="Calibri" w:hAnsi="Calibri" w:cs="Calibri"/>
          <w:sz w:val="20"/>
          <w:szCs w:val="20"/>
        </w:rPr>
        <w:t>Andrea Finch, Meal Reimbursement, $40.35 Beckman, Patricia, Shoe Reimbursement, $75.00 Becky Logan, Meal Reimbursement, $100.00 Cash- Wa Distributing, FS District Food Supplies, $1,051.00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Century Business Products Inc, Print Management, $2.82 Conkling, Melanie, Shoe Reimbursement, $67.92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Dacotah Paper Co, FS Disposable Paper Products, $1,342.64 Davis, Sara, Shoe Reimbursement 2021-22, $75.00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East Side Jersey Dairy Inc, FS District Purchases, $4,103.08 EGGERS, SHIRLEY, Shoe Reimbursement, $63.89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Golden West Telecommunications, Communication Expense, $164.48 Hobart Sales &amp; Service, FS HS Hobart Dishwasher Repair, $276.94 Holtzman, Renei, Shoe Reimbursement, $75.00 Jason and Alexis Kuiken, Meal Reimbursement, $51.40 Koskela, Tracy, Shoe Reimbursement, $75.00 Pan-O-Gold Baking Co, FS District Purchases, $575.08 Pressler, Becky, Shoe Reimbursement, $69.21 Rebecca Kaffar, Meal Reimbursement, $32.50, Rebecca Nordling, Meal Reimbursement, $68.00 Reinhart Foodservice LLC, FS District Purchases, $23,267.17, Richardson, Kristin, Shoe Reimbursement, $63.88 Shannon Phillips, Meal Reimbursement, $147.00 Simonson, Kim, Shoe Reimbursement, $75.00 Sunshine Foods, District Food Purchases, $122.78 VANDERGRIFT, ELIZABETH, Shoe Reimbursement 2021-22, $75.00 West Central Food Services, Additional Petty Cash, $25.00 FOOD SERVICE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$32,085.14 </w:t>
      </w:r>
      <w:r w:rsidRPr="00293BE9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293BE9">
        <w:rPr>
          <w:rFonts w:ascii="Calibri" w:hAnsi="Calibri" w:cs="Calibri"/>
          <w:sz w:val="20"/>
          <w:szCs w:val="20"/>
        </w:rPr>
        <w:t>Eric Kurtz, 2021 Soccer Camp, $268.58</w:t>
      </w:r>
      <w:r w:rsidRPr="00293BE9">
        <w:rPr>
          <w:sz w:val="20"/>
          <w:szCs w:val="20"/>
        </w:rPr>
        <w:t xml:space="preserve"> </w:t>
      </w:r>
      <w:r w:rsidRPr="00293BE9">
        <w:rPr>
          <w:rFonts w:ascii="Calibri" w:hAnsi="Calibri" w:cs="Calibri"/>
          <w:sz w:val="20"/>
          <w:szCs w:val="20"/>
        </w:rPr>
        <w:t>Grocott Ink &amp; Thread, Summer Camp Soccer T-Shirts, $413.75 Hauff Mid-America Sports Inc, Camp t-shirts, $1,052.22 COMMUNITY EDUCATION/SERVICES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$1,734.55 </w:t>
      </w:r>
      <w:r w:rsidRPr="00293BE9">
        <w:rPr>
          <w:rFonts w:ascii="Calibri" w:hAnsi="Calibri" w:cs="Calibri"/>
          <w:bCs/>
          <w:sz w:val="20"/>
          <w:szCs w:val="20"/>
        </w:rPr>
        <w:t>GENERAL CHECKING TOTAL: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$827,106.30 </w:t>
      </w:r>
      <w:r w:rsidRPr="00293BE9">
        <w:rPr>
          <w:rFonts w:ascii="Calibri" w:hAnsi="Calibri" w:cs="Calibri"/>
          <w:bCs/>
          <w:sz w:val="20"/>
          <w:szCs w:val="20"/>
          <w:u w:val="single"/>
        </w:rPr>
        <w:t xml:space="preserve">IMPREST CHECKING, </w:t>
      </w:r>
      <w:r w:rsidRPr="00293BE9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293BE9">
        <w:rPr>
          <w:rFonts w:ascii="Calibri" w:hAnsi="Calibri" w:cs="Calibri"/>
          <w:sz w:val="20"/>
          <w:szCs w:val="20"/>
        </w:rPr>
        <w:t>Big Sioux Review, Marching Band Registration, $100.00 Brockmueller, Kyndra, Gas Reimbursement, $38.88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>Council on College Admission In South Dakota, Fall Counselor Workshop, $90.00 DCI, Finger Printing / Background Check, $519.00 Glenn, Megan, Soccer Official, $132.60 HUDL, Coaching Tools Online Videos, $3,399.00 Nothdurft Construction LLC, HS Parking Lot Crushed Asphalt /Backfill, $400.00 PUMP, MATTHEW, Soccer Official, $130.00</w:t>
      </w:r>
      <w:r>
        <w:rPr>
          <w:rFonts w:ascii="Calibri" w:hAnsi="Calibri" w:cs="Calibri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Purchase Power, Postage &amp; Leasing Fees, $412.05 SASD, Membership Fees 2021-2022, $674.00 Stuessi, Krista, Staff In-service Food, $27.98 Tyler Soyer, Soccer Official, $165.44 West Central General Fund, 8-9-21 Registration Day Cash, $550.00 </w:t>
      </w:r>
      <w:r w:rsidRPr="00293BE9">
        <w:rPr>
          <w:rFonts w:ascii="Calibri" w:hAnsi="Calibri" w:cs="Calibri"/>
          <w:bCs/>
          <w:sz w:val="20"/>
          <w:szCs w:val="20"/>
        </w:rPr>
        <w:t>IMPREST CHECKING TOTAL: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$6,638.95 </w:t>
      </w:r>
      <w:r w:rsidRPr="00293BE9">
        <w:rPr>
          <w:rFonts w:ascii="Calibri" w:hAnsi="Calibri" w:cs="Calibri"/>
          <w:bCs/>
          <w:sz w:val="20"/>
          <w:szCs w:val="20"/>
          <w:u w:val="single"/>
        </w:rPr>
        <w:t xml:space="preserve">PREPAIDS, </w:t>
      </w:r>
      <w:r w:rsidRPr="00293BE9">
        <w:rPr>
          <w:rFonts w:ascii="Calibri" w:hAnsi="Calibri" w:cs="Calibri"/>
          <w:bCs/>
          <w:sz w:val="20"/>
          <w:szCs w:val="20"/>
        </w:rPr>
        <w:t xml:space="preserve">GENERAL FUND, </w:t>
      </w:r>
      <w:r w:rsidRPr="00293BE9">
        <w:rPr>
          <w:rFonts w:ascii="Calibri" w:hAnsi="Calibri" w:cs="Calibri"/>
          <w:sz w:val="20"/>
          <w:szCs w:val="20"/>
        </w:rPr>
        <w:t xml:space="preserve"> Amazon Business, Amazon Charges, $108.46 BEST BUY, Girls Basketball Supplies, $79.86 Carnival Savers, K5 Student Incentives, $118.75 GTD Audio Inc, K5 PE Equipment, $76.00 Motion Industries INC, HS Green House, $963.77, Niemanville LLC, Classroom Curriculum, $320.00 OTC Brands Inc, Trojan Pride Pencils, $128.82 RAINBOW OF MINNESOTA LLC, HUEL Swing Part, $75.00 RevTrak Inc, Monthly Fees, $159.16 Sam's Direct Club, District Wide Supplies, $605.17 Walmart, HS Office Supplies, $177.06 Wex Bank, </w:t>
      </w:r>
      <w:r w:rsidRPr="00293BE9">
        <w:rPr>
          <w:rFonts w:ascii="Calibri" w:hAnsi="Calibri" w:cs="Calibri"/>
          <w:sz w:val="20"/>
          <w:szCs w:val="20"/>
        </w:rPr>
        <w:lastRenderedPageBreak/>
        <w:t>Student Transit Fuel, $1,166.69 Wix.com, Monthly Fee, $10.43 GENERAL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$3,989.17 </w:t>
      </w:r>
      <w:r w:rsidRPr="00293BE9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293BE9">
        <w:rPr>
          <w:rFonts w:ascii="Calibri" w:hAnsi="Calibri" w:cs="Calibri"/>
          <w:sz w:val="20"/>
          <w:szCs w:val="20"/>
        </w:rPr>
        <w:t>Walmart, K5 Sped Supplies, $154.65, Wex Bank, Student Transit Fuel, $180.81 SPECIAL EDUCATION FUND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$335.46 </w:t>
      </w:r>
      <w:r w:rsidRPr="00293BE9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293BE9">
        <w:rPr>
          <w:rFonts w:ascii="Calibri" w:hAnsi="Calibri" w:cs="Calibri"/>
          <w:sz w:val="20"/>
          <w:szCs w:val="20"/>
        </w:rPr>
        <w:t>Wex Bank, Student Transit Fuel, $534.93 COMMUNITY EDUCATION/SERVICES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93BE9">
        <w:rPr>
          <w:rFonts w:ascii="Calibri" w:hAnsi="Calibri" w:cs="Calibri"/>
          <w:sz w:val="20"/>
          <w:szCs w:val="20"/>
        </w:rPr>
        <w:t xml:space="preserve">$534.93, </w:t>
      </w:r>
      <w:r w:rsidRPr="00293BE9">
        <w:rPr>
          <w:rFonts w:ascii="Calibri" w:hAnsi="Calibri" w:cs="Calibri"/>
          <w:bCs/>
          <w:sz w:val="20"/>
          <w:szCs w:val="20"/>
        </w:rPr>
        <w:t>PREPAIDS TOTAL:</w:t>
      </w:r>
      <w:r w:rsidRPr="00293BE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3BE9">
        <w:rPr>
          <w:rFonts w:ascii="Calibri" w:hAnsi="Calibri" w:cs="Calibri"/>
          <w:sz w:val="20"/>
          <w:szCs w:val="20"/>
        </w:rPr>
        <w:t>$4,859.56</w:t>
      </w:r>
      <w:r w:rsidRPr="00293BE9">
        <w:rPr>
          <w:rFonts w:ascii="Calibri" w:hAnsi="Calibri" w:cs="Calibri"/>
          <w:bCs/>
          <w:sz w:val="20"/>
          <w:szCs w:val="20"/>
        </w:rPr>
        <w:t xml:space="preserve">TOTAL ALL CLAIMS, </w:t>
      </w:r>
      <w:r w:rsidRPr="00293BE9">
        <w:rPr>
          <w:rFonts w:ascii="Calibri" w:hAnsi="Calibri" w:cs="Calibri"/>
          <w:color w:val="000000"/>
          <w:sz w:val="20"/>
          <w:szCs w:val="20"/>
        </w:rPr>
        <w:t>$838,604.81.</w:t>
      </w:r>
    </w:p>
    <w:p w:rsidR="00836B96" w:rsidRPr="00F56D18" w:rsidRDefault="00F41970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975288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B92ED0">
        <w:rPr>
          <w:rFonts w:ascii="Calibri" w:hAnsi="Calibri" w:cs="Calibri"/>
          <w:color w:val="000000" w:themeColor="text1"/>
          <w:sz w:val="20"/>
          <w:szCs w:val="20"/>
        </w:rPr>
        <w:t xml:space="preserve"> -</w:t>
      </w:r>
      <w:r w:rsidR="00F56D18">
        <w:rPr>
          <w:rFonts w:ascii="Calibri" w:hAnsi="Calibri" w:cs="Calibri"/>
          <w:color w:val="000000" w:themeColor="text1"/>
          <w:sz w:val="20"/>
          <w:szCs w:val="20"/>
        </w:rPr>
        <w:t xml:space="preserve"> AUGUST 2021</w:t>
      </w:r>
      <w:r w:rsidR="00784F8E" w:rsidRPr="00975288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F56D18" w:rsidRPr="006F6090" w:rsidRDefault="00F56D18" w:rsidP="00F56D18">
      <w:pPr>
        <w:pStyle w:val="ListParagraph"/>
      </w:pPr>
      <w:r w:rsidRPr="00F56D18">
        <w:rPr>
          <w:rFonts w:ascii="Calibri" w:hAnsi="Calibri" w:cs="Calibri"/>
          <w:bCs/>
          <w:sz w:val="20"/>
          <w:szCs w:val="20"/>
        </w:rPr>
        <w:t xml:space="preserve">General Fund, Beginning Balance, $3,823,455.60,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$376,957.22, Intermediate Sources, $3,847.42, State Sources, $450,885.00, Federal Sources, $44,353.00,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-$156,255.69, Payroll, -$614,757.27, Reclassifications, -$125.00,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$3,928,360.28, Capital Outlay Fund, Beginning Balance, $883,998.44,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$12,016.69, Federal Sources, $624,323.00,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-$783,845.38,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$736,492.75, Special Education Fund, Beginning Balance, $526,920.46,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$4,454.07, State Sources, $45,845.00, Federal Sources, $120,476.00,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-$38,346.51, Payroll, -$88,010.50,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$571,338.52, Debt Service Fund, Beginning Balance, -$153,021.15,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$2,691.04,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-$600.00,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-$150,930.11, Food Service Fund, Beginning Balance, $385,172.04,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$24,730.65, Federal Sources, $1,456.85,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-$19,504.82, Payroll, -$15,377.35,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$376,477.37, KARE Program Fund, Beginning and Ending Balance, $170,720.33, Custodial Fund, Beginning Balance, $149,944.10,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$20,480.42,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-$25,007.85, Reclassifications, $125.00,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$145,541.67, Community Education Fund, Beginning Balance, $8,856.77,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$7,405.00,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-$3,670.28, Payroll, -$9,088.76, </w:t>
      </w:r>
      <w:r w:rsidRPr="00F56D18">
        <w:rPr>
          <w:rFonts w:ascii="Calibri" w:hAnsi="Calibri" w:cs="Calibri"/>
          <w:bCs/>
          <w:sz w:val="20"/>
          <w:szCs w:val="20"/>
        </w:rPr>
        <w:t xml:space="preserve">Ending Balance, $3,502.73, Total, Beginning Balance, $5,796,046.59, Receipts, </w:t>
      </w:r>
      <w:r w:rsidRPr="00F56D18">
        <w:rPr>
          <w:rFonts w:ascii="Calibri" w:hAnsi="Calibri" w:cs="Calibri"/>
          <w:sz w:val="20"/>
          <w:szCs w:val="20"/>
        </w:rPr>
        <w:t xml:space="preserve">Local Sources, $448,735.09, Intermediate Sources, $3,847.42, State Sources, $496,730.00, Federal Sources, $790,608.85, </w:t>
      </w:r>
      <w:r w:rsidRPr="00F56D18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F56D18">
        <w:rPr>
          <w:rFonts w:ascii="Calibri" w:hAnsi="Calibri" w:cs="Calibri"/>
          <w:sz w:val="20"/>
          <w:szCs w:val="20"/>
        </w:rPr>
        <w:t xml:space="preserve">Claims, -$1,027,230.53, Payroll, -$727,233.88, </w:t>
      </w:r>
      <w:r w:rsidRPr="00F56D18">
        <w:rPr>
          <w:rFonts w:ascii="Calibri" w:hAnsi="Calibri" w:cs="Calibri"/>
          <w:bCs/>
          <w:sz w:val="20"/>
          <w:szCs w:val="20"/>
        </w:rPr>
        <w:t>Ending Balance, $5,781,503.54.</w:t>
      </w:r>
    </w:p>
    <w:p w:rsidR="000E6990" w:rsidRPr="00B92ED0" w:rsidRDefault="00836B96" w:rsidP="000E6990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PERSONNEL ACTIONS:</w:t>
      </w:r>
      <w:r w:rsidR="00975288" w:rsidRPr="00975288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:rsidR="00B92ED0" w:rsidRPr="00B92ED0" w:rsidRDefault="00B92ED0" w:rsidP="00B92ED0">
      <w:pPr>
        <w:pStyle w:val="ListParagraph"/>
        <w:rPr>
          <w:rFonts w:ascii="Calibri" w:hAnsi="Calibri" w:cs="Calibri"/>
          <w:color w:val="000000"/>
          <w:sz w:val="20"/>
          <w:szCs w:val="20"/>
        </w:rPr>
      </w:pPr>
      <w:r w:rsidRPr="00B92ED0">
        <w:rPr>
          <w:rFonts w:ascii="Calibri" w:hAnsi="Calibri" w:cs="Calibri"/>
          <w:bCs/>
          <w:color w:val="000000"/>
          <w:sz w:val="20"/>
          <w:szCs w:val="20"/>
        </w:rPr>
        <w:t xml:space="preserve">Updated Contracts: </w:t>
      </w:r>
      <w:r w:rsidRPr="00B92ED0">
        <w:rPr>
          <w:rFonts w:ascii="Calibri" w:hAnsi="Calibri" w:cs="Calibri"/>
          <w:color w:val="000000"/>
          <w:sz w:val="20"/>
          <w:szCs w:val="20"/>
        </w:rPr>
        <w:t>Jeff Peterson, High School Science Teacher, $54,289, HOSA Advisor, $2,646, MS Head Girls Track Coach/HS Assistant Track Coach, $3,528; Dylan Ljunggren, High School/Middle School Business Teacher, $46,500, 8th Grade Football Coach, $2,280, MS Head Boys Track Coach/HS Assistant Track Coach, $3,040; Noah Schuldt, High School English Teacher, $42,000, Newspaper Advisor, $2,220; Derek Bahrenfuss, Grade 5 Teacher, $45,982, Eddie Burch, Technology Teacher, $54,600; Holly Garry, Academic Interventionist at .50 Time (166 days), $24,906, Academic Interventionist at Full Time (14 days), $4,201.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92ED0">
        <w:rPr>
          <w:rFonts w:ascii="Calibri" w:hAnsi="Calibri" w:cs="Calibri"/>
          <w:color w:val="000000"/>
          <w:sz w:val="20"/>
          <w:szCs w:val="20"/>
        </w:rPr>
        <w:t>New Contracts: Yolanda Johnston, SPED Teacher Long-Term Sub for 2021-22 School Year, $49,593; Joy Berg, Academic Interventionist for 2021-2022 School Year, $47,094; Tova Hartle, School Counselor, $45,100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92ED0">
        <w:rPr>
          <w:rFonts w:ascii="Calibri" w:hAnsi="Calibri" w:cs="Calibri"/>
          <w:bCs/>
          <w:color w:val="000000"/>
          <w:sz w:val="20"/>
          <w:szCs w:val="20"/>
        </w:rPr>
        <w:t xml:space="preserve">Updated Work Agreements: </w:t>
      </w:r>
      <w:r w:rsidRPr="00B92ED0">
        <w:rPr>
          <w:rFonts w:ascii="Calibri" w:hAnsi="Calibri" w:cs="Calibri"/>
          <w:color w:val="000000"/>
          <w:sz w:val="20"/>
          <w:szCs w:val="20"/>
        </w:rPr>
        <w:t>Andrea Spisak, Educational Assistant, $15.25/hour; Mateya Schrader, Educational Assistant, $15.00/hour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92ED0">
        <w:rPr>
          <w:rFonts w:ascii="Calibri" w:hAnsi="Calibri" w:cs="Calibri"/>
          <w:color w:val="000000"/>
          <w:sz w:val="20"/>
          <w:szCs w:val="20"/>
        </w:rPr>
        <w:t>New Work Agreements: Samantha Voeltz, Educational Assistant, $15.00/hour; Diane Johnson, Head Custodian, $16.75/hour.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92ED0">
        <w:rPr>
          <w:rFonts w:ascii="Calibri" w:hAnsi="Calibri" w:cs="Calibri"/>
          <w:bCs/>
          <w:color w:val="000000"/>
          <w:sz w:val="20"/>
          <w:szCs w:val="20"/>
        </w:rPr>
        <w:t xml:space="preserve">New Cocurricular Agreements: </w:t>
      </w:r>
      <w:r w:rsidRPr="00B92ED0">
        <w:rPr>
          <w:rFonts w:ascii="Calibri" w:hAnsi="Calibri" w:cs="Calibri"/>
          <w:color w:val="000000"/>
          <w:sz w:val="20"/>
          <w:szCs w:val="20"/>
        </w:rPr>
        <w:t>Adam Dejong, 7th Grade Football Coach, $1,850; Justin Rehfeldt, Middle School Football Assistant Coach, $1,925.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92ED0">
        <w:rPr>
          <w:rFonts w:ascii="Calibri" w:hAnsi="Calibri" w:cs="Calibri"/>
          <w:bCs/>
          <w:color w:val="000000"/>
          <w:sz w:val="20"/>
          <w:szCs w:val="20"/>
        </w:rPr>
        <w:t>Resignations:</w:t>
      </w:r>
      <w:r w:rsidRPr="00B92ED0">
        <w:rPr>
          <w:rFonts w:ascii="Calibri" w:hAnsi="Calibri" w:cs="Calibri"/>
          <w:color w:val="000000"/>
          <w:sz w:val="20"/>
          <w:szCs w:val="20"/>
        </w:rPr>
        <w:t xml:space="preserve"> Laura Meland, Educational Assistant, Effective 8/27/2021. </w:t>
      </w:r>
    </w:p>
    <w:p w:rsidR="00836B96" w:rsidRPr="00836B96" w:rsidRDefault="00836B96" w:rsidP="004654B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OPEN ENROLLMENTS:</w:t>
      </w:r>
      <w:r w:rsidR="00437274">
        <w:rPr>
          <w:rFonts w:ascii="Calibri" w:hAnsi="Calibri" w:cs="Calibri"/>
          <w:color w:val="000000" w:themeColor="text1"/>
          <w:sz w:val="20"/>
          <w:szCs w:val="20"/>
        </w:rPr>
        <w:t xml:space="preserve"> #22-21B and #22-32 were approved.</w:t>
      </w:r>
    </w:p>
    <w:p w:rsidR="3FC8BB40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9C3BD5" w:rsidRDefault="009C3BD5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3FC8BB40">
        <w:rPr>
          <w:rFonts w:asciiTheme="minorHAnsi" w:hAnsiTheme="minorHAnsi" w:cs="Calibri Light"/>
          <w:b/>
          <w:bCs/>
          <w:sz w:val="20"/>
          <w:szCs w:val="20"/>
          <w:u w:val="single"/>
        </w:rPr>
        <w:t>Public Input on Regular Business</w:t>
      </w:r>
    </w:p>
    <w:p w:rsidR="00C16EF8" w:rsidRPr="00C16EF8" w:rsidRDefault="00A80B4E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None given.</w:t>
      </w:r>
    </w:p>
    <w:p w:rsidR="00C16EF8" w:rsidRDefault="00C16EF8" w:rsidP="006E5CFB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784D56" w:rsidRPr="002947AC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A80B4E" w:rsidRDefault="00185984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Hoey presented </w:t>
      </w:r>
      <w:r w:rsidR="00A814EC">
        <w:rPr>
          <w:rFonts w:asciiTheme="minorHAnsi" w:hAnsiTheme="minorHAnsi" w:cs="Calibri Light"/>
          <w:sz w:val="20"/>
          <w:szCs w:val="20"/>
        </w:rPr>
        <w:t xml:space="preserve">updates to the </w:t>
      </w:r>
      <w:r w:rsidR="00A80B4E" w:rsidRPr="00A80B4E">
        <w:rPr>
          <w:rFonts w:asciiTheme="minorHAnsi" w:hAnsiTheme="minorHAnsi" w:cs="Calibri Light"/>
          <w:sz w:val="20"/>
          <w:szCs w:val="20"/>
        </w:rPr>
        <w:t>2021-2022 Continue to Learn Plan</w:t>
      </w:r>
      <w:r w:rsidR="00437274">
        <w:rPr>
          <w:rFonts w:asciiTheme="minorHAnsi" w:hAnsiTheme="minorHAnsi" w:cs="Calibri Light"/>
          <w:sz w:val="20"/>
          <w:szCs w:val="20"/>
        </w:rPr>
        <w:t>.</w:t>
      </w:r>
    </w:p>
    <w:p w:rsidR="002C2F9D" w:rsidRPr="00A80B4E" w:rsidRDefault="002C2F9D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A80B4E" w:rsidRPr="00A80B4E" w:rsidRDefault="002C2F9D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22-03</w:t>
      </w:r>
      <w:r w:rsidR="00185984">
        <w:rPr>
          <w:rFonts w:asciiTheme="minorHAnsi" w:hAnsiTheme="minorHAnsi" w:cs="Calibri Light"/>
          <w:b/>
          <w:bCs/>
          <w:sz w:val="20"/>
          <w:szCs w:val="20"/>
        </w:rPr>
        <w:t>7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A42DD">
        <w:rPr>
          <w:rFonts w:asciiTheme="minorHAnsi" w:hAnsiTheme="minorHAnsi" w:cs="Calibri Light"/>
          <w:sz w:val="20"/>
          <w:szCs w:val="20"/>
        </w:rPr>
        <w:t>Motion by</w:t>
      </w:r>
      <w:r w:rsidR="000A513D">
        <w:rPr>
          <w:rFonts w:asciiTheme="minorHAnsi" w:hAnsiTheme="minorHAnsi" w:cs="Calibri Light"/>
          <w:sz w:val="20"/>
          <w:szCs w:val="20"/>
        </w:rPr>
        <w:t xml:space="preserve"> Klinkhammer, second by Kayser</w:t>
      </w:r>
      <w:r w:rsidR="003A42DD">
        <w:rPr>
          <w:rFonts w:asciiTheme="minorHAnsi" w:hAnsiTheme="minorHAnsi" w:cs="Calibri Light"/>
          <w:sz w:val="20"/>
          <w:szCs w:val="20"/>
        </w:rPr>
        <w:t xml:space="preserve"> t</w:t>
      </w:r>
      <w:r w:rsidR="003A42DD" w:rsidRPr="3FC8BB40">
        <w:rPr>
          <w:rFonts w:asciiTheme="minorHAnsi" w:hAnsiTheme="minorHAnsi" w:cs="Calibri Light"/>
          <w:sz w:val="20"/>
          <w:szCs w:val="20"/>
        </w:rPr>
        <w:t>o approve the</w:t>
      </w:r>
      <w:r w:rsidR="003A42DD" w:rsidRPr="00A80B4E">
        <w:rPr>
          <w:rFonts w:asciiTheme="minorHAnsi" w:hAnsiTheme="minorHAnsi" w:cs="Calibri Light"/>
          <w:sz w:val="20"/>
          <w:szCs w:val="20"/>
        </w:rPr>
        <w:t xml:space="preserve"> </w:t>
      </w:r>
      <w:r w:rsidR="00A80B4E" w:rsidRPr="00A80B4E">
        <w:rPr>
          <w:rFonts w:asciiTheme="minorHAnsi" w:hAnsiTheme="minorHAnsi" w:cs="Calibri Light"/>
          <w:sz w:val="20"/>
          <w:szCs w:val="20"/>
        </w:rPr>
        <w:t xml:space="preserve">Application for a Waiver from an Administrative Rule for </w:t>
      </w:r>
      <w:r w:rsidR="00437274">
        <w:rPr>
          <w:rFonts w:asciiTheme="minorHAnsi" w:hAnsiTheme="minorHAnsi" w:cs="Calibri Light"/>
          <w:sz w:val="20"/>
          <w:szCs w:val="20"/>
        </w:rPr>
        <w:t>a substitute teacher.</w:t>
      </w:r>
    </w:p>
    <w:p w:rsidR="002C2F9D" w:rsidRDefault="002C2F9D" w:rsidP="00A80B4E">
      <w:pPr>
        <w:spacing w:line="259" w:lineRule="auto"/>
        <w:contextualSpacing/>
        <w:rPr>
          <w:rFonts w:asciiTheme="minorHAnsi" w:hAnsiTheme="minorHAnsi" w:cs="Calibri Light"/>
          <w:b/>
          <w:bCs/>
          <w:sz w:val="20"/>
          <w:szCs w:val="20"/>
        </w:rPr>
      </w:pPr>
    </w:p>
    <w:p w:rsidR="00A80B4E" w:rsidRDefault="002C2F9D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185984">
        <w:rPr>
          <w:rFonts w:asciiTheme="minorHAnsi" w:hAnsiTheme="minorHAnsi" w:cs="Calibri Light"/>
          <w:b/>
          <w:bCs/>
          <w:sz w:val="20"/>
          <w:szCs w:val="20"/>
        </w:rPr>
        <w:t>38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A42DD">
        <w:rPr>
          <w:rFonts w:asciiTheme="minorHAnsi" w:hAnsiTheme="minorHAnsi" w:cs="Calibri Light"/>
          <w:sz w:val="20"/>
          <w:szCs w:val="20"/>
        </w:rPr>
        <w:t>Motion by</w:t>
      </w:r>
      <w:r w:rsidR="0062092B">
        <w:rPr>
          <w:rFonts w:asciiTheme="minorHAnsi" w:hAnsiTheme="minorHAnsi" w:cs="Calibri Light"/>
          <w:sz w:val="20"/>
          <w:szCs w:val="20"/>
        </w:rPr>
        <w:t xml:space="preserve"> Eich, second by Klinkhammer</w:t>
      </w:r>
      <w:r w:rsidR="003A42DD">
        <w:rPr>
          <w:rFonts w:asciiTheme="minorHAnsi" w:hAnsiTheme="minorHAnsi" w:cs="Calibri Light"/>
          <w:sz w:val="20"/>
          <w:szCs w:val="20"/>
        </w:rPr>
        <w:t xml:space="preserve"> t</w:t>
      </w:r>
      <w:r w:rsidR="003A42DD" w:rsidRPr="3FC8BB40">
        <w:rPr>
          <w:rFonts w:asciiTheme="minorHAnsi" w:hAnsiTheme="minorHAnsi" w:cs="Calibri Light"/>
          <w:sz w:val="20"/>
          <w:szCs w:val="20"/>
        </w:rPr>
        <w:t>o approve the</w:t>
      </w:r>
      <w:r w:rsidR="003A42DD" w:rsidRPr="00A80B4E">
        <w:rPr>
          <w:rFonts w:asciiTheme="minorHAnsi" w:hAnsiTheme="minorHAnsi" w:cs="Calibri Light"/>
          <w:sz w:val="20"/>
          <w:szCs w:val="20"/>
        </w:rPr>
        <w:t xml:space="preserve"> </w:t>
      </w:r>
      <w:r w:rsidR="00A80B4E" w:rsidRPr="00A80B4E">
        <w:rPr>
          <w:rFonts w:asciiTheme="minorHAnsi" w:hAnsiTheme="minorHAnsi" w:cs="Calibri Light"/>
          <w:sz w:val="20"/>
          <w:szCs w:val="20"/>
        </w:rPr>
        <w:t>Resolution #2022-02 Adoption of 2021-2022 Annual Budget</w:t>
      </w:r>
      <w:r w:rsidR="00A814EC">
        <w:rPr>
          <w:rFonts w:asciiTheme="minorHAnsi" w:hAnsiTheme="minorHAnsi" w:cs="Calibri Light"/>
          <w:sz w:val="20"/>
          <w:szCs w:val="20"/>
        </w:rPr>
        <w:t>.</w:t>
      </w:r>
    </w:p>
    <w:p w:rsidR="00CB7D64" w:rsidRDefault="00CB7D64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lastRenderedPageBreak/>
        <w:t xml:space="preserve">Let it be resolved, that the School Board of </w:t>
      </w:r>
      <w:r w:rsidRPr="005E676A">
        <w:rPr>
          <w:rFonts w:asciiTheme="minorHAnsi" w:hAnsiTheme="minorHAnsi"/>
          <w:sz w:val="20"/>
          <w:szCs w:val="20"/>
        </w:rPr>
        <w:t>the West Central School District</w:t>
      </w:r>
      <w:r>
        <w:rPr>
          <w:rFonts w:asciiTheme="minorHAnsi" w:hAnsiTheme="minorHAnsi"/>
          <w:sz w:val="20"/>
          <w:szCs w:val="20"/>
        </w:rPr>
        <w:t xml:space="preserve"> No. 49-7</w:t>
      </w:r>
      <w:r w:rsidRPr="005E676A">
        <w:rPr>
          <w:rFonts w:asciiTheme="minorHAnsi" w:hAnsiTheme="minorHAnsi"/>
          <w:sz w:val="20"/>
          <w:szCs w:val="20"/>
        </w:rPr>
        <w:t>, after duly considering the proposed budget and its changes thereto, to be published in accordance with SDCL 13-11-2</w:t>
      </w:r>
      <w:r>
        <w:rPr>
          <w:rFonts w:asciiTheme="minorHAnsi" w:hAnsiTheme="minorHAnsi"/>
          <w:sz w:val="20"/>
          <w:szCs w:val="20"/>
        </w:rPr>
        <w:t>,</w:t>
      </w:r>
      <w:r w:rsidRPr="005E676A">
        <w:rPr>
          <w:rFonts w:asciiTheme="minorHAnsi" w:hAnsiTheme="minorHAnsi"/>
          <w:sz w:val="20"/>
          <w:szCs w:val="20"/>
        </w:rPr>
        <w:t xml:space="preserve"> hereby approves and adopts its proposed budget and changes thereto, to be its Annual Budget for the fiscal year July 1, 202</w:t>
      </w:r>
      <w:r>
        <w:rPr>
          <w:rFonts w:asciiTheme="minorHAnsi" w:hAnsiTheme="minorHAnsi"/>
          <w:sz w:val="20"/>
          <w:szCs w:val="20"/>
        </w:rPr>
        <w:t>1</w:t>
      </w:r>
      <w:r w:rsidRPr="005E676A">
        <w:rPr>
          <w:rFonts w:asciiTheme="minorHAnsi" w:hAnsiTheme="minorHAnsi"/>
          <w:sz w:val="20"/>
          <w:szCs w:val="20"/>
        </w:rPr>
        <w:t xml:space="preserve"> through June 30, 202</w:t>
      </w:r>
      <w:r>
        <w:rPr>
          <w:rFonts w:asciiTheme="minorHAnsi" w:hAnsiTheme="minorHAnsi"/>
          <w:sz w:val="20"/>
          <w:szCs w:val="20"/>
        </w:rPr>
        <w:t>2</w:t>
      </w:r>
      <w:r w:rsidRPr="005E676A">
        <w:rPr>
          <w:rFonts w:asciiTheme="minorHAnsi" w:hAnsiTheme="minorHAnsi"/>
          <w:sz w:val="20"/>
          <w:szCs w:val="20"/>
        </w:rPr>
        <w:t>.  The adopted Annual Budget totals are as follows:  General Fund $10,</w:t>
      </w:r>
      <w:r>
        <w:rPr>
          <w:rFonts w:asciiTheme="minorHAnsi" w:hAnsiTheme="minorHAnsi"/>
          <w:sz w:val="20"/>
          <w:szCs w:val="20"/>
        </w:rPr>
        <w:t>761,221</w:t>
      </w:r>
      <w:r w:rsidRPr="005E676A">
        <w:rPr>
          <w:rFonts w:asciiTheme="minorHAnsi" w:hAnsiTheme="minorHAnsi"/>
          <w:sz w:val="20"/>
          <w:szCs w:val="20"/>
        </w:rPr>
        <w:t>, Capital Outlay $</w:t>
      </w:r>
      <w:r>
        <w:rPr>
          <w:rFonts w:asciiTheme="minorHAnsi" w:hAnsiTheme="minorHAnsi"/>
          <w:sz w:val="20"/>
          <w:szCs w:val="20"/>
        </w:rPr>
        <w:t>2,927,563</w:t>
      </w:r>
      <w:r w:rsidRPr="005E676A">
        <w:rPr>
          <w:rFonts w:asciiTheme="minorHAnsi" w:hAnsiTheme="minorHAnsi"/>
          <w:sz w:val="20"/>
          <w:szCs w:val="20"/>
        </w:rPr>
        <w:t>, Special Education $2,</w:t>
      </w:r>
      <w:r>
        <w:rPr>
          <w:rFonts w:asciiTheme="minorHAnsi" w:hAnsiTheme="minorHAnsi"/>
          <w:sz w:val="20"/>
          <w:szCs w:val="20"/>
        </w:rPr>
        <w:t>706,895</w:t>
      </w:r>
      <w:r w:rsidRPr="005E676A">
        <w:rPr>
          <w:rFonts w:asciiTheme="minorHAnsi" w:hAnsiTheme="minorHAnsi"/>
          <w:sz w:val="20"/>
          <w:szCs w:val="20"/>
        </w:rPr>
        <w:t>, Bond Redemption Fund $7</w:t>
      </w:r>
      <w:r>
        <w:rPr>
          <w:rFonts w:asciiTheme="minorHAnsi" w:hAnsiTheme="minorHAnsi"/>
          <w:sz w:val="20"/>
          <w:szCs w:val="20"/>
        </w:rPr>
        <w:t>45,000</w:t>
      </w:r>
      <w:r w:rsidRPr="005E676A">
        <w:rPr>
          <w:rFonts w:asciiTheme="minorHAnsi" w:hAnsiTheme="minorHAnsi"/>
          <w:sz w:val="20"/>
          <w:szCs w:val="20"/>
        </w:rPr>
        <w:t>, Food Service Fund $89</w:t>
      </w:r>
      <w:r>
        <w:rPr>
          <w:rFonts w:asciiTheme="minorHAnsi" w:hAnsiTheme="minorHAnsi"/>
          <w:sz w:val="20"/>
          <w:szCs w:val="20"/>
        </w:rPr>
        <w:t>8,118</w:t>
      </w:r>
      <w:r w:rsidRPr="005E676A">
        <w:rPr>
          <w:rFonts w:asciiTheme="minorHAnsi" w:hAnsiTheme="minorHAnsi"/>
          <w:sz w:val="20"/>
          <w:szCs w:val="20"/>
        </w:rPr>
        <w:t>, and the Community Activities Fund $</w:t>
      </w:r>
      <w:r>
        <w:rPr>
          <w:rFonts w:asciiTheme="minorHAnsi" w:hAnsiTheme="minorHAnsi"/>
          <w:sz w:val="20"/>
          <w:szCs w:val="20"/>
        </w:rPr>
        <w:t>74,370</w:t>
      </w:r>
      <w:r w:rsidRPr="005E676A">
        <w:rPr>
          <w:rFonts w:asciiTheme="minorHAnsi" w:hAnsiTheme="minorHAnsi"/>
          <w:sz w:val="20"/>
          <w:szCs w:val="20"/>
        </w:rPr>
        <w:t>.  The adopted Annual Budget levy requests are as follows: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Tax Levy Request</w:t>
      </w:r>
      <w:r>
        <w:rPr>
          <w:rFonts w:asciiTheme="minorHAnsi" w:hAnsiTheme="minorHAnsi"/>
          <w:sz w:val="20"/>
          <w:szCs w:val="20"/>
        </w:rPr>
        <w:t>: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  <w:t>General Fund</w:t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$ 1.4</w:t>
      </w:r>
      <w:r>
        <w:rPr>
          <w:rFonts w:asciiTheme="minorHAnsi" w:hAnsiTheme="minorHAnsi"/>
          <w:sz w:val="20"/>
          <w:szCs w:val="20"/>
        </w:rPr>
        <w:t>09</w:t>
      </w:r>
      <w:r w:rsidRPr="001B173D">
        <w:rPr>
          <w:rFonts w:asciiTheme="minorHAnsi" w:hAnsiTheme="minorHAnsi"/>
          <w:sz w:val="20"/>
          <w:szCs w:val="20"/>
        </w:rPr>
        <w:t>/per $1,000 of ag valuation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$ 3.</w:t>
      </w:r>
      <w:r>
        <w:rPr>
          <w:rFonts w:asciiTheme="minorHAnsi" w:hAnsiTheme="minorHAnsi"/>
          <w:sz w:val="20"/>
          <w:szCs w:val="20"/>
        </w:rPr>
        <w:t>153</w:t>
      </w:r>
      <w:r w:rsidRPr="001B173D">
        <w:rPr>
          <w:rFonts w:asciiTheme="minorHAnsi" w:hAnsiTheme="minorHAnsi"/>
          <w:sz w:val="20"/>
          <w:szCs w:val="20"/>
        </w:rPr>
        <w:t>/per $1,000 of owner occupied valuation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$ 6.</w:t>
      </w:r>
      <w:r>
        <w:rPr>
          <w:rFonts w:asciiTheme="minorHAnsi" w:hAnsiTheme="minorHAnsi"/>
          <w:sz w:val="20"/>
          <w:szCs w:val="20"/>
        </w:rPr>
        <w:t>525</w:t>
      </w:r>
      <w:r w:rsidRPr="001B173D">
        <w:rPr>
          <w:rFonts w:asciiTheme="minorHAnsi" w:hAnsiTheme="minorHAnsi"/>
          <w:sz w:val="20"/>
          <w:szCs w:val="20"/>
        </w:rPr>
        <w:t>/per $1,000 of Other/non agricultural</w:t>
      </w:r>
    </w:p>
    <w:p w:rsidR="00CB7D64" w:rsidRDefault="00CB7D64" w:rsidP="00CB7D64">
      <w:pPr>
        <w:ind w:firstLine="720"/>
        <w:rPr>
          <w:rFonts w:asciiTheme="minorHAnsi" w:hAnsiTheme="minorHAnsi"/>
          <w:sz w:val="20"/>
          <w:szCs w:val="20"/>
        </w:rPr>
      </w:pPr>
    </w:p>
    <w:p w:rsidR="00CB7D64" w:rsidRPr="001B173D" w:rsidRDefault="00CB7D64" w:rsidP="00CB7D64">
      <w:pPr>
        <w:ind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Opt Out for General</w:t>
      </w:r>
      <w:r w:rsidRPr="001B173D">
        <w:rPr>
          <w:rFonts w:asciiTheme="minorHAnsi" w:hAnsiTheme="minorHAnsi"/>
          <w:sz w:val="20"/>
          <w:szCs w:val="20"/>
        </w:rPr>
        <w:tab/>
        <w:t>$ 0.00</w:t>
      </w:r>
    </w:p>
    <w:p w:rsidR="00CB7D64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</w:p>
    <w:p w:rsidR="00CB7D64" w:rsidRPr="001B173D" w:rsidRDefault="00CB7D64" w:rsidP="00CB7D64">
      <w:pPr>
        <w:ind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Capital Outlay</w:t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  <w:t>$ 2,</w:t>
      </w:r>
      <w:r>
        <w:rPr>
          <w:rFonts w:asciiTheme="minorHAnsi" w:hAnsiTheme="minorHAnsi"/>
          <w:sz w:val="20"/>
          <w:szCs w:val="20"/>
        </w:rPr>
        <w:t>250</w:t>
      </w:r>
      <w:r w:rsidRPr="001B173D">
        <w:rPr>
          <w:rFonts w:asciiTheme="minorHAnsi" w:hAnsiTheme="minorHAnsi"/>
          <w:sz w:val="20"/>
          <w:szCs w:val="20"/>
        </w:rPr>
        <w:t>,000.00</w:t>
      </w:r>
    </w:p>
    <w:p w:rsidR="00CB7D64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</w:p>
    <w:p w:rsidR="00CB7D64" w:rsidRPr="001B173D" w:rsidRDefault="00CB7D64" w:rsidP="00CB7D64">
      <w:pPr>
        <w:ind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Special Education</w:t>
      </w: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>$ 1.6</w:t>
      </w:r>
      <w:r>
        <w:rPr>
          <w:rFonts w:asciiTheme="minorHAnsi" w:hAnsiTheme="minorHAnsi"/>
          <w:sz w:val="20"/>
          <w:szCs w:val="20"/>
        </w:rPr>
        <w:t>70</w:t>
      </w:r>
      <w:r w:rsidRPr="001B173D">
        <w:rPr>
          <w:rFonts w:asciiTheme="minorHAnsi" w:hAnsiTheme="minorHAnsi"/>
          <w:sz w:val="20"/>
          <w:szCs w:val="20"/>
        </w:rPr>
        <w:t>/per $1,000 of total valuation</w:t>
      </w:r>
    </w:p>
    <w:p w:rsidR="00CB7D64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CB7D64" w:rsidRPr="001B173D" w:rsidRDefault="00CB7D64" w:rsidP="00CB7D64">
      <w:pPr>
        <w:ind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Bond Redemption</w:t>
      </w:r>
      <w:r w:rsidRPr="001B173D">
        <w:rPr>
          <w:rFonts w:asciiTheme="minorHAnsi" w:hAnsiTheme="minorHAnsi"/>
          <w:sz w:val="20"/>
          <w:szCs w:val="20"/>
        </w:rPr>
        <w:tab/>
        <w:t>$ 7</w:t>
      </w:r>
      <w:r>
        <w:rPr>
          <w:rFonts w:asciiTheme="minorHAnsi" w:hAnsiTheme="minorHAnsi"/>
          <w:sz w:val="20"/>
          <w:szCs w:val="20"/>
        </w:rPr>
        <w:t>45</w:t>
      </w:r>
      <w:r w:rsidRPr="001B173D">
        <w:rPr>
          <w:rFonts w:asciiTheme="minorHAnsi" w:hAnsiTheme="minorHAnsi"/>
          <w:sz w:val="20"/>
          <w:szCs w:val="20"/>
        </w:rPr>
        <w:t>,000.00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 xml:space="preserve">The budget adopted is as follows:  </w:t>
      </w:r>
    </w:p>
    <w:p w:rsidR="00834F41" w:rsidRPr="001B173D" w:rsidRDefault="00834F41" w:rsidP="00CB7D6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Revenue Budget</w:t>
      </w:r>
    </w:p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2295"/>
        <w:gridCol w:w="1013"/>
        <w:gridCol w:w="982"/>
        <w:gridCol w:w="982"/>
        <w:gridCol w:w="1075"/>
        <w:gridCol w:w="855"/>
        <w:gridCol w:w="1026"/>
        <w:gridCol w:w="1122"/>
      </w:tblGrid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Capital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Special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Bond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Food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Community 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General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Outlay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Education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Redemption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Service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Activities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All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Funds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Local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Taxes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$3,266,879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$2,195,298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$1,310,521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$733,284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$7,505,982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Transportation Fees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$15,000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$15,000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Investment Earnings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$15,000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$25,000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$2,500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$2,500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$5,000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$50,000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Food Service Fees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$145,500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$145,500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Cocurricular Fees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$115,750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$115,750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Other Local Sources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$177,020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$192,757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$32,000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$55,250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$457,027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Local Sources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$3,589,649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$2,413,055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$1,345,021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$735,784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$150,500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$55,250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$8,289,259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Intermediate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County Apportionment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$40,000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$40,000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Intermediate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$40,000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$40,000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State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State Aid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$5,656,969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$550,992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$6,207,961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Apportionment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$105,000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$105,000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Bank Franchise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$250,000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$250,000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Other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$350,000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$350,000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State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$6,361,969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$550,992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$6,912,961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Federal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Grants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$395,923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$237,300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$408,848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$2,000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$1,044,071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Food Service Assistance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$673,000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sz w:val="16"/>
                <w:szCs w:val="18"/>
              </w:rPr>
              <w:t>$673,000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Federal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$395,923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$237,300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$408,848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$2,000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$673,000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$1,717,071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 w:rsidP="006F7B36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Transfers In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 </w:t>
            </w:r>
            <w:r w:rsidR="006F7B36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6F7B36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6F7B36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6F7B36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6F7B36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 w:rsidP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$0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Sources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$10,387,541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$2,650,355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$2,304,861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$737,784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$823,500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$55,250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$16,959,291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Use of Funds On Hand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$373,680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$277,208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$402,034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$7,216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$74,618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$19,120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$1,153,876</w:t>
            </w:r>
          </w:p>
        </w:tc>
      </w:tr>
      <w:tr w:rsidR="00834F41" w:rsidRPr="00834F41" w:rsidTr="006F7B36">
        <w:trPr>
          <w:trHeight w:val="20"/>
        </w:trPr>
        <w:tc>
          <w:tcPr>
            <w:tcW w:w="2335" w:type="dxa"/>
            <w:noWrap/>
            <w:hideMark/>
          </w:tcPr>
          <w:p w:rsidR="00834F41" w:rsidRPr="00834F41" w:rsidRDefault="00834F41">
            <w:pP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Total Means of Finance</w:t>
            </w:r>
          </w:p>
        </w:tc>
        <w:tc>
          <w:tcPr>
            <w:tcW w:w="88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$10,761,221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$2,927,563</w:t>
            </w:r>
          </w:p>
        </w:tc>
        <w:tc>
          <w:tcPr>
            <w:tcW w:w="99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$2,706,895</w:t>
            </w:r>
          </w:p>
        </w:tc>
        <w:tc>
          <w:tcPr>
            <w:tcW w:w="109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$745,000</w:t>
            </w:r>
          </w:p>
        </w:tc>
        <w:tc>
          <w:tcPr>
            <w:tcW w:w="867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$898,118</w:t>
            </w:r>
          </w:p>
        </w:tc>
        <w:tc>
          <w:tcPr>
            <w:tcW w:w="1042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$74,370</w:t>
            </w:r>
          </w:p>
        </w:tc>
        <w:tc>
          <w:tcPr>
            <w:tcW w:w="1140" w:type="dxa"/>
            <w:noWrap/>
            <w:hideMark/>
          </w:tcPr>
          <w:p w:rsidR="00834F41" w:rsidRPr="00834F41" w:rsidRDefault="00834F41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34F41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$18,113,167</w:t>
            </w:r>
          </w:p>
        </w:tc>
      </w:tr>
    </w:tbl>
    <w:p w:rsidR="00CB7D64" w:rsidRDefault="00CB7D64" w:rsidP="00CB7D64">
      <w:pPr>
        <w:jc w:val="center"/>
        <w:rPr>
          <w:rFonts w:asciiTheme="minorHAnsi" w:hAnsiTheme="minorHAnsi"/>
          <w:bCs/>
          <w:sz w:val="20"/>
          <w:szCs w:val="20"/>
        </w:rPr>
      </w:pPr>
    </w:p>
    <w:p w:rsidR="00834F41" w:rsidRDefault="00834F41" w:rsidP="00834F41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Expenditure Budget:</w:t>
      </w:r>
    </w:p>
    <w:tbl>
      <w:tblPr>
        <w:tblStyle w:val="TableGridLight"/>
        <w:tblW w:w="9370" w:type="dxa"/>
        <w:tblLook w:val="04A0" w:firstRow="1" w:lastRow="0" w:firstColumn="1" w:lastColumn="0" w:noHBand="0" w:noVBand="1"/>
      </w:tblPr>
      <w:tblGrid>
        <w:gridCol w:w="2335"/>
        <w:gridCol w:w="1029"/>
        <w:gridCol w:w="948"/>
        <w:gridCol w:w="948"/>
        <w:gridCol w:w="1125"/>
        <w:gridCol w:w="825"/>
        <w:gridCol w:w="990"/>
        <w:gridCol w:w="1170"/>
      </w:tblGrid>
      <w:tr w:rsidR="006F7B36" w:rsidRPr="006F7B36" w:rsidTr="006F7B36">
        <w:trPr>
          <w:trHeight w:val="20"/>
        </w:trPr>
        <w:tc>
          <w:tcPr>
            <w:tcW w:w="2335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948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Special</w:t>
            </w:r>
          </w:p>
        </w:tc>
        <w:tc>
          <w:tcPr>
            <w:tcW w:w="1125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Bond</w:t>
            </w:r>
          </w:p>
        </w:tc>
        <w:tc>
          <w:tcPr>
            <w:tcW w:w="825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Food</w:t>
            </w:r>
          </w:p>
        </w:tc>
        <w:tc>
          <w:tcPr>
            <w:tcW w:w="990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Community</w:t>
            </w:r>
          </w:p>
        </w:tc>
        <w:tc>
          <w:tcPr>
            <w:tcW w:w="1170" w:type="dxa"/>
            <w:noWrap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Outlay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Redemption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All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Instruction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Funds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Elementary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$2,295,985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$390,000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$2,685,985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Middle School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$1,132,753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$253,500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$1,386,253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High School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$1,573,982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$196,500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$1,770,482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Mild to Moderate Disabilities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$935,740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$935,740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Severe Disabilities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$349,621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$349,621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Day Programs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$526,205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$526,205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Residential Programs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$44,864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$44,864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Early Childhood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$136,112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$136,112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English Language Learners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$22,303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$22,303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Disadvantaged Children (Title I)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$404,915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$404,915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Alternative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$164,714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$164,714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Instruction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$5,594,652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$840,000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$1,992,542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$8,427,194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Support Services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Behavior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$71,234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Counseling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$315,168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$315,168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Nurse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$100,632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$40,000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$140,632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Psychological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$89,518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$89,518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Speech Therapy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$239,137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$239,137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Physical Therapy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$52,500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$52,500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Occupational Therapy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$76,000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$76,000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Curriculum Coordinator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$86,186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$86,186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Curriculum Development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$66,043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$66,043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Instructional Staff Training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$117,189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$15,115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$132,304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Library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$159,433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$166,933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Technology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$310,198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$71,000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$381,198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Election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Audit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Board of Education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$77,600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$77,600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Superintendent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$225,493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$225,493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Principals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$689,121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$689,121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Other School Administration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$107,352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$107,352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Medicaid Administration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Fiscal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$291,190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$291,190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Facilities Acquisition &amp; Construction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$682,063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$682,063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Custodial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$1,104,144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$1,112,144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Grounds Maintenance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$108,104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$14,500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$122,604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Equipment Maintenance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$32,513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$32,513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Security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$12,557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$27,557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Building Maintenance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$384,631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$30,000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$414,631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Transportation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$478,222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$242,000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$720,222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Food Service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$898,118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$1,003,118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Public Information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$10,250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$10,250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Special Education Administration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$130,512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$130,512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Special Education Transportation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$71,571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$71,571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Support Services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$4,709,026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$1,175,063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$714,353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$898,118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$7,496,560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Cocurricular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Male Cocurricular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$95,847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$8,000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$103,847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Female Cocurricular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$91,416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$93,416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Combined Cocurricular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$229,890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$152,500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$382,390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Cocurricular Transportation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$35,390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sz w:val="16"/>
                <w:szCs w:val="16"/>
              </w:rPr>
              <w:t>$35,390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Cocurricular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$452,543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$162,500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$0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$615,043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Community Services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$74,370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$74,370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Unemployment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$5,000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Debt Service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$725,000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$745,000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$1,470,000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Transfer Out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$25,000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$25,000</w:t>
            </w:r>
          </w:p>
        </w:tc>
      </w:tr>
      <w:tr w:rsidR="006F7B36" w:rsidRPr="006F7B36" w:rsidTr="006F7B36">
        <w:trPr>
          <w:trHeight w:val="20"/>
        </w:trPr>
        <w:tc>
          <w:tcPr>
            <w:tcW w:w="2335" w:type="dxa"/>
            <w:noWrap/>
            <w:hideMark/>
          </w:tcPr>
          <w:p w:rsidR="006F7B36" w:rsidRPr="006F7B36" w:rsidRDefault="006F7B3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Expenditures</w:t>
            </w:r>
          </w:p>
        </w:tc>
        <w:tc>
          <w:tcPr>
            <w:tcW w:w="1029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$10,761,221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$2,927,563</w:t>
            </w:r>
          </w:p>
        </w:tc>
        <w:tc>
          <w:tcPr>
            <w:tcW w:w="948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$2,706,895</w:t>
            </w:r>
          </w:p>
        </w:tc>
        <w:tc>
          <w:tcPr>
            <w:tcW w:w="11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$745,000</w:t>
            </w:r>
          </w:p>
        </w:tc>
        <w:tc>
          <w:tcPr>
            <w:tcW w:w="825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$898,118</w:t>
            </w:r>
          </w:p>
        </w:tc>
        <w:tc>
          <w:tcPr>
            <w:tcW w:w="99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$74,370</w:t>
            </w:r>
          </w:p>
        </w:tc>
        <w:tc>
          <w:tcPr>
            <w:tcW w:w="1170" w:type="dxa"/>
            <w:noWrap/>
            <w:hideMark/>
          </w:tcPr>
          <w:p w:rsidR="006F7B36" w:rsidRPr="006F7B36" w:rsidRDefault="006F7B36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7B3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$18,113,167</w:t>
            </w:r>
          </w:p>
        </w:tc>
      </w:tr>
    </w:tbl>
    <w:p w:rsidR="00834F41" w:rsidRPr="001B173D" w:rsidRDefault="00834F41" w:rsidP="00834F41">
      <w:pPr>
        <w:rPr>
          <w:rFonts w:asciiTheme="minorHAnsi" w:hAnsiTheme="minorHAnsi"/>
          <w:bCs/>
          <w:sz w:val="20"/>
          <w:szCs w:val="20"/>
        </w:rPr>
      </w:pPr>
    </w:p>
    <w:p w:rsidR="00CB7D64" w:rsidRPr="001B173D" w:rsidRDefault="00CB7D64" w:rsidP="00CB7D64">
      <w:pPr>
        <w:ind w:left="5040" w:firstLine="720"/>
        <w:rPr>
          <w:rFonts w:asciiTheme="minorHAnsi" w:hAnsiTheme="minorHAnsi"/>
          <w:bCs/>
          <w:sz w:val="20"/>
          <w:szCs w:val="20"/>
        </w:rPr>
      </w:pPr>
    </w:p>
    <w:p w:rsidR="00CB7D64" w:rsidRPr="001B173D" w:rsidRDefault="00CB7D64" w:rsidP="00CB7D64">
      <w:pPr>
        <w:ind w:left="4320" w:firstLine="720"/>
        <w:rPr>
          <w:rFonts w:asciiTheme="minorHAnsi" w:hAnsiTheme="minorHAnsi"/>
          <w:bCs/>
          <w:sz w:val="20"/>
          <w:szCs w:val="20"/>
        </w:rPr>
      </w:pPr>
      <w:r w:rsidRPr="001B173D">
        <w:rPr>
          <w:rFonts w:asciiTheme="minorHAnsi" w:hAnsiTheme="minorHAnsi"/>
          <w:bCs/>
          <w:sz w:val="20"/>
          <w:szCs w:val="20"/>
        </w:rPr>
        <w:lastRenderedPageBreak/>
        <w:t>______________________________</w:t>
      </w:r>
    </w:p>
    <w:p w:rsidR="00CB7D64" w:rsidRPr="001B173D" w:rsidRDefault="00CB7D64" w:rsidP="00CB7D64">
      <w:pPr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 w:rsidRPr="001B173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Alison McGillivray</w:t>
      </w:r>
    </w:p>
    <w:p w:rsidR="00CB7D64" w:rsidRPr="001B173D" w:rsidRDefault="00CB7D64" w:rsidP="00CB7D64">
      <w:pPr>
        <w:ind w:left="4320" w:firstLine="720"/>
        <w:rPr>
          <w:rFonts w:asciiTheme="minorHAnsi" w:hAnsiTheme="minorHAnsi"/>
          <w:sz w:val="20"/>
          <w:szCs w:val="20"/>
        </w:rPr>
      </w:pPr>
      <w:r w:rsidRPr="001B173D">
        <w:rPr>
          <w:rFonts w:asciiTheme="minorHAnsi" w:hAnsiTheme="minorHAnsi"/>
          <w:sz w:val="20"/>
          <w:szCs w:val="20"/>
        </w:rPr>
        <w:t>School Board President</w:t>
      </w:r>
    </w:p>
    <w:p w:rsidR="00CB7D64" w:rsidRPr="00A80B4E" w:rsidRDefault="00CB7D64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2C2F9D" w:rsidRDefault="002C2F9D" w:rsidP="00A80B4E">
      <w:pPr>
        <w:spacing w:line="259" w:lineRule="auto"/>
        <w:contextualSpacing/>
        <w:rPr>
          <w:rFonts w:asciiTheme="minorHAnsi" w:hAnsiTheme="minorHAnsi" w:cs="Calibri Light"/>
          <w:b/>
          <w:bCs/>
          <w:sz w:val="20"/>
          <w:szCs w:val="20"/>
        </w:rPr>
      </w:pPr>
    </w:p>
    <w:p w:rsidR="00A80B4E" w:rsidRPr="00A80B4E" w:rsidRDefault="002C2F9D" w:rsidP="00A80B4E">
      <w:pPr>
        <w:spacing w:line="259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185984">
        <w:rPr>
          <w:rFonts w:asciiTheme="minorHAnsi" w:hAnsiTheme="minorHAnsi" w:cs="Calibri Light"/>
          <w:b/>
          <w:bCs/>
          <w:sz w:val="20"/>
          <w:szCs w:val="20"/>
        </w:rPr>
        <w:t>39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A42DD">
        <w:rPr>
          <w:rFonts w:asciiTheme="minorHAnsi" w:hAnsiTheme="minorHAnsi" w:cs="Calibri Light"/>
          <w:sz w:val="20"/>
          <w:szCs w:val="20"/>
        </w:rPr>
        <w:t xml:space="preserve">Motion by </w:t>
      </w:r>
      <w:r w:rsidR="00B83678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3A42DD">
        <w:rPr>
          <w:rFonts w:asciiTheme="minorHAnsi" w:hAnsiTheme="minorHAnsi" w:cs="Calibri Light"/>
          <w:sz w:val="20"/>
          <w:szCs w:val="20"/>
        </w:rPr>
        <w:t>t</w:t>
      </w:r>
      <w:r w:rsidR="003A42DD" w:rsidRPr="3FC8BB40">
        <w:rPr>
          <w:rFonts w:asciiTheme="minorHAnsi" w:hAnsiTheme="minorHAnsi" w:cs="Calibri Light"/>
          <w:sz w:val="20"/>
          <w:szCs w:val="20"/>
        </w:rPr>
        <w:t>o approve the</w:t>
      </w:r>
      <w:r w:rsidR="003A42DD" w:rsidRPr="00A80B4E">
        <w:rPr>
          <w:rFonts w:asciiTheme="minorHAnsi" w:hAnsiTheme="minorHAnsi" w:cs="Calibri Light"/>
          <w:sz w:val="20"/>
          <w:szCs w:val="20"/>
        </w:rPr>
        <w:t xml:space="preserve"> </w:t>
      </w:r>
      <w:r w:rsidR="001508D3">
        <w:rPr>
          <w:rFonts w:asciiTheme="minorHAnsi" w:hAnsiTheme="minorHAnsi" w:cs="Calibri Light"/>
          <w:sz w:val="20"/>
          <w:szCs w:val="20"/>
        </w:rPr>
        <w:t>fuel bid</w:t>
      </w:r>
      <w:r w:rsidR="000F3BBD">
        <w:rPr>
          <w:rFonts w:asciiTheme="minorHAnsi" w:hAnsiTheme="minorHAnsi" w:cs="Calibri Light"/>
          <w:sz w:val="20"/>
          <w:szCs w:val="20"/>
        </w:rPr>
        <w:t xml:space="preserve"> from Coffee Cup Fuel Stop and Friendly’s Fuel Stop for $0.05 per gallon discount on unleaded and diesel fuel</w:t>
      </w:r>
      <w:r w:rsidR="00B83678">
        <w:rPr>
          <w:rFonts w:asciiTheme="minorHAnsi" w:hAnsiTheme="minorHAnsi" w:cs="Calibri Light"/>
          <w:sz w:val="20"/>
          <w:szCs w:val="20"/>
        </w:rPr>
        <w:t>.</w:t>
      </w:r>
    </w:p>
    <w:p w:rsidR="00A814EC" w:rsidRDefault="00A814EC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3A42DD" w:rsidRDefault="003A42DD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 xml:space="preserve">Second Reading of Policy – </w:t>
      </w:r>
      <w:hyperlink r:id="rId8">
        <w:r w:rsidRPr="00A80B4E">
          <w:rPr>
            <w:rFonts w:asciiTheme="minorHAnsi" w:hAnsiTheme="minorHAnsi" w:cs="Calibri Light"/>
            <w:sz w:val="20"/>
            <w:szCs w:val="20"/>
          </w:rPr>
          <w:t>EBB - Accident Prevention and Safety Procedures</w:t>
        </w:r>
      </w:hyperlink>
      <w:r w:rsidR="003E79A8">
        <w:rPr>
          <w:rFonts w:asciiTheme="minorHAnsi" w:hAnsiTheme="minorHAnsi" w:cs="Calibri Light"/>
          <w:sz w:val="20"/>
          <w:szCs w:val="20"/>
        </w:rPr>
        <w:t>.</w:t>
      </w:r>
    </w:p>
    <w:p w:rsidR="00A80B4E" w:rsidRDefault="002C2F9D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185984">
        <w:rPr>
          <w:rFonts w:asciiTheme="minorHAnsi" w:hAnsiTheme="minorHAnsi" w:cs="Calibri Light"/>
          <w:b/>
          <w:bCs/>
          <w:sz w:val="20"/>
          <w:szCs w:val="20"/>
        </w:rPr>
        <w:t>40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A42DD">
        <w:rPr>
          <w:rFonts w:asciiTheme="minorHAnsi" w:hAnsiTheme="minorHAnsi" w:cs="Calibri Light"/>
          <w:sz w:val="20"/>
          <w:szCs w:val="20"/>
        </w:rPr>
        <w:t xml:space="preserve">Motion by </w:t>
      </w:r>
      <w:r w:rsidR="00AF612D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3A42DD">
        <w:rPr>
          <w:rFonts w:asciiTheme="minorHAnsi" w:hAnsiTheme="minorHAnsi" w:cs="Calibri Light"/>
          <w:sz w:val="20"/>
          <w:szCs w:val="20"/>
        </w:rPr>
        <w:t>t</w:t>
      </w:r>
      <w:r w:rsidR="003A42DD" w:rsidRPr="3FC8BB40">
        <w:rPr>
          <w:rFonts w:asciiTheme="minorHAnsi" w:hAnsiTheme="minorHAnsi" w:cs="Calibri Light"/>
          <w:sz w:val="20"/>
          <w:szCs w:val="20"/>
        </w:rPr>
        <w:t xml:space="preserve">o approve </w:t>
      </w:r>
      <w:r w:rsidR="00A80B4E" w:rsidRPr="00A80B4E">
        <w:rPr>
          <w:rFonts w:asciiTheme="minorHAnsi" w:hAnsiTheme="minorHAnsi" w:cs="Calibri Light"/>
          <w:sz w:val="20"/>
          <w:szCs w:val="20"/>
        </w:rPr>
        <w:t xml:space="preserve">Policy – </w:t>
      </w:r>
      <w:hyperlink r:id="rId9">
        <w:r w:rsidR="00A80B4E" w:rsidRPr="00A80B4E">
          <w:rPr>
            <w:rFonts w:asciiTheme="minorHAnsi" w:hAnsiTheme="minorHAnsi" w:cs="Calibri Light"/>
            <w:sz w:val="20"/>
            <w:szCs w:val="20"/>
          </w:rPr>
          <w:t>EBB - Accident Prevention and Safety Procedures</w:t>
        </w:r>
      </w:hyperlink>
      <w:r w:rsidR="003E79A8">
        <w:rPr>
          <w:rFonts w:asciiTheme="minorHAnsi" w:hAnsiTheme="minorHAnsi" w:cs="Calibri Light"/>
          <w:sz w:val="20"/>
          <w:szCs w:val="20"/>
        </w:rPr>
        <w:t xml:space="preserve"> </w:t>
      </w:r>
      <w:r w:rsidR="008658EE">
        <w:rPr>
          <w:rFonts w:asciiTheme="minorHAnsi" w:hAnsiTheme="minorHAnsi" w:cs="Calibri Light"/>
          <w:sz w:val="20"/>
          <w:szCs w:val="20"/>
        </w:rPr>
        <w:t>with recommended changes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2C2F9D" w:rsidRDefault="002C2F9D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AF612D" w:rsidRDefault="00AF612D" w:rsidP="00AF612D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 xml:space="preserve">Second Reading of Policy – </w:t>
      </w:r>
      <w:hyperlink r:id="rId10">
        <w:r w:rsidRPr="00A80B4E">
          <w:rPr>
            <w:rFonts w:asciiTheme="minorHAnsi" w:hAnsiTheme="minorHAnsi" w:cs="Calibri Light"/>
            <w:sz w:val="20"/>
            <w:szCs w:val="20"/>
          </w:rPr>
          <w:t>EBC - Emergency Plans</w:t>
        </w:r>
      </w:hyperlink>
      <w:r w:rsidR="003E79A8">
        <w:rPr>
          <w:rFonts w:asciiTheme="minorHAnsi" w:hAnsiTheme="minorHAnsi" w:cs="Calibri Light"/>
          <w:sz w:val="20"/>
          <w:szCs w:val="20"/>
        </w:rPr>
        <w:t>.</w:t>
      </w:r>
    </w:p>
    <w:p w:rsidR="00AF612D" w:rsidRDefault="00AF612D" w:rsidP="00AF612D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</w:t>
      </w:r>
      <w:r w:rsidR="003E79A8">
        <w:rPr>
          <w:rFonts w:asciiTheme="minorHAnsi" w:hAnsiTheme="minorHAnsi" w:cs="Calibri Light"/>
          <w:b/>
          <w:bCs/>
          <w:sz w:val="20"/>
          <w:szCs w:val="20"/>
        </w:rPr>
        <w:t>41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 Eich, se</w:t>
      </w:r>
      <w:r w:rsidR="003E79A8">
        <w:rPr>
          <w:rFonts w:asciiTheme="minorHAnsi" w:hAnsiTheme="minorHAnsi" w:cs="Calibri Light"/>
          <w:sz w:val="20"/>
          <w:szCs w:val="20"/>
        </w:rPr>
        <w:t>c</w:t>
      </w:r>
      <w:r>
        <w:rPr>
          <w:rFonts w:asciiTheme="minorHAnsi" w:hAnsiTheme="minorHAnsi" w:cs="Calibri Light"/>
          <w:sz w:val="20"/>
          <w:szCs w:val="20"/>
        </w:rPr>
        <w:t>ond by Klin</w:t>
      </w:r>
      <w:r w:rsidR="003E79A8">
        <w:rPr>
          <w:rFonts w:asciiTheme="minorHAnsi" w:hAnsiTheme="minorHAnsi" w:cs="Calibri Light"/>
          <w:sz w:val="20"/>
          <w:szCs w:val="20"/>
        </w:rPr>
        <w:t>k</w:t>
      </w:r>
      <w:r>
        <w:rPr>
          <w:rFonts w:asciiTheme="minorHAnsi" w:hAnsiTheme="minorHAnsi" w:cs="Calibri Light"/>
          <w:sz w:val="20"/>
          <w:szCs w:val="20"/>
        </w:rPr>
        <w:t>hammer t</w:t>
      </w:r>
      <w:r w:rsidRPr="3FC8BB40">
        <w:rPr>
          <w:rFonts w:asciiTheme="minorHAnsi" w:hAnsiTheme="minorHAnsi" w:cs="Calibri Light"/>
          <w:sz w:val="20"/>
          <w:szCs w:val="20"/>
        </w:rPr>
        <w:t xml:space="preserve">o approve </w:t>
      </w:r>
      <w:r w:rsidR="003E79A8">
        <w:rPr>
          <w:rFonts w:asciiTheme="minorHAnsi" w:hAnsiTheme="minorHAnsi" w:cs="Calibri Light"/>
          <w:sz w:val="20"/>
          <w:szCs w:val="20"/>
        </w:rPr>
        <w:t>P</w:t>
      </w:r>
      <w:r w:rsidRPr="00A80B4E">
        <w:rPr>
          <w:rFonts w:asciiTheme="minorHAnsi" w:hAnsiTheme="minorHAnsi" w:cs="Calibri Light"/>
          <w:sz w:val="20"/>
          <w:szCs w:val="20"/>
        </w:rPr>
        <w:t xml:space="preserve">olicy – </w:t>
      </w:r>
      <w:hyperlink r:id="rId11">
        <w:r w:rsidRPr="00A80B4E">
          <w:rPr>
            <w:rFonts w:asciiTheme="minorHAnsi" w:hAnsiTheme="minorHAnsi" w:cs="Calibri Light"/>
            <w:sz w:val="20"/>
            <w:szCs w:val="20"/>
          </w:rPr>
          <w:t>EBC - Emergency Plans</w:t>
        </w:r>
      </w:hyperlink>
      <w:r>
        <w:rPr>
          <w:rFonts w:asciiTheme="minorHAnsi" w:hAnsiTheme="minorHAnsi" w:cs="Calibri Light"/>
          <w:sz w:val="20"/>
          <w:szCs w:val="20"/>
        </w:rPr>
        <w:t>.</w:t>
      </w:r>
    </w:p>
    <w:p w:rsidR="00AF612D" w:rsidRDefault="00AF612D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3E79A8" w:rsidRDefault="003E79A8" w:rsidP="003E79A8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 xml:space="preserve">Second Reading of Policy – </w:t>
      </w:r>
      <w:hyperlink r:id="rId12">
        <w:r w:rsidRPr="00A80B4E">
          <w:rPr>
            <w:rFonts w:asciiTheme="minorHAnsi" w:hAnsiTheme="minorHAnsi" w:cs="Calibri Light"/>
            <w:sz w:val="20"/>
            <w:szCs w:val="20"/>
          </w:rPr>
          <w:t>EBCA - Bomb Threats</w:t>
        </w:r>
      </w:hyperlink>
      <w:r>
        <w:rPr>
          <w:rFonts w:asciiTheme="minorHAnsi" w:hAnsiTheme="minorHAnsi" w:cs="Calibri Light"/>
          <w:sz w:val="20"/>
          <w:szCs w:val="20"/>
        </w:rPr>
        <w:t>.</w:t>
      </w:r>
    </w:p>
    <w:p w:rsidR="003E79A8" w:rsidRDefault="003E79A8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22-042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 Kayser, second by Klinkhammer t</w:t>
      </w:r>
      <w:r w:rsidRPr="3FC8BB40">
        <w:rPr>
          <w:rFonts w:asciiTheme="minorHAnsi" w:hAnsiTheme="minorHAnsi" w:cs="Calibri Light"/>
          <w:sz w:val="20"/>
          <w:szCs w:val="20"/>
        </w:rPr>
        <w:t xml:space="preserve">o approve </w:t>
      </w:r>
      <w:r w:rsidRPr="00A80B4E">
        <w:rPr>
          <w:rFonts w:asciiTheme="minorHAnsi" w:hAnsiTheme="minorHAnsi" w:cs="Calibri Light"/>
          <w:sz w:val="20"/>
          <w:szCs w:val="20"/>
        </w:rPr>
        <w:t xml:space="preserve">Policy – </w:t>
      </w:r>
      <w:hyperlink r:id="rId13">
        <w:r w:rsidRPr="00A80B4E">
          <w:rPr>
            <w:rFonts w:asciiTheme="minorHAnsi" w:hAnsiTheme="minorHAnsi" w:cs="Calibri Light"/>
            <w:sz w:val="20"/>
            <w:szCs w:val="20"/>
          </w:rPr>
          <w:t>EBCA - Bomb Threats</w:t>
        </w:r>
      </w:hyperlink>
      <w:r>
        <w:rPr>
          <w:rFonts w:asciiTheme="minorHAnsi" w:hAnsiTheme="minorHAnsi" w:cs="Calibri Light"/>
          <w:sz w:val="20"/>
          <w:szCs w:val="20"/>
        </w:rPr>
        <w:t xml:space="preserve"> with recommended changes.</w:t>
      </w:r>
    </w:p>
    <w:p w:rsidR="00AF612D" w:rsidRPr="00A80B4E" w:rsidRDefault="00AF612D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>Frist Reading of Policy – EBCB – Fire Drills</w:t>
      </w:r>
    </w:p>
    <w:p w:rsid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Changes were recommended.</w:t>
      </w:r>
    </w:p>
    <w:p w:rsidR="00A80B4E" w:rsidRP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A80B4E" w:rsidRP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>First Reading of Policy – EBCC – Emergency Lockdowns</w:t>
      </w:r>
    </w:p>
    <w:p w:rsid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changes were recommended.</w:t>
      </w:r>
    </w:p>
    <w:p w:rsid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864367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 w:rsidRPr="00A80B4E">
        <w:rPr>
          <w:rFonts w:asciiTheme="minorHAnsi" w:hAnsiTheme="minorHAnsi" w:cs="Calibri Light"/>
          <w:sz w:val="20"/>
          <w:szCs w:val="20"/>
        </w:rPr>
        <w:t>First Reading of Policy – EBCD – Emergency Closings</w:t>
      </w:r>
    </w:p>
    <w:p w:rsidR="00A80B4E" w:rsidRDefault="00864367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</w:t>
      </w:r>
      <w:r w:rsidR="00A80B4E">
        <w:rPr>
          <w:rFonts w:asciiTheme="minorHAnsi" w:hAnsiTheme="minorHAnsi" w:cs="Calibri Light"/>
          <w:sz w:val="20"/>
          <w:szCs w:val="20"/>
        </w:rPr>
        <w:t>hanges were recommended.</w:t>
      </w:r>
    </w:p>
    <w:p w:rsidR="00A80B4E" w:rsidRPr="00A80B4E" w:rsidRDefault="00A80B4E" w:rsidP="00A80B4E">
      <w:pPr>
        <w:spacing w:line="252" w:lineRule="auto"/>
        <w:contextualSpacing/>
        <w:rPr>
          <w:rFonts w:asciiTheme="minorHAnsi" w:hAnsiTheme="minorHAnsi" w:cs="Calibri Light"/>
          <w:sz w:val="20"/>
          <w:szCs w:val="20"/>
        </w:rPr>
      </w:pPr>
    </w:p>
    <w:p w:rsidR="00D316B6" w:rsidRDefault="004D38F3" w:rsidP="004D38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>ports of the Superintendent</w:t>
      </w:r>
    </w:p>
    <w:p w:rsidR="00977FAE" w:rsidRDefault="000F6B4F" w:rsidP="00977FAE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Superintendent Hoey discussed the following: </w:t>
      </w:r>
      <w:r w:rsidR="000D37E0">
        <w:rPr>
          <w:rFonts w:asciiTheme="minorHAnsi" w:hAnsiTheme="minorHAnsi" w:cs="Calibri Light"/>
          <w:sz w:val="20"/>
          <w:szCs w:val="20"/>
        </w:rPr>
        <w:t>preliminary enr</w:t>
      </w:r>
      <w:r w:rsidR="00E74E30">
        <w:rPr>
          <w:rFonts w:asciiTheme="minorHAnsi" w:hAnsiTheme="minorHAnsi" w:cs="Calibri Light"/>
          <w:sz w:val="20"/>
          <w:szCs w:val="20"/>
        </w:rPr>
        <w:t xml:space="preserve">ollment and state aid per pupil, facility </w:t>
      </w:r>
      <w:r w:rsidR="00BE084F">
        <w:rPr>
          <w:rFonts w:asciiTheme="minorHAnsi" w:hAnsiTheme="minorHAnsi" w:cs="Calibri Light"/>
          <w:sz w:val="20"/>
          <w:szCs w:val="20"/>
        </w:rPr>
        <w:t>master planning survey, and award received by</w:t>
      </w:r>
      <w:r w:rsidR="00E74E30">
        <w:rPr>
          <w:rFonts w:asciiTheme="minorHAnsi" w:hAnsiTheme="minorHAnsi" w:cs="Calibri Light"/>
          <w:sz w:val="20"/>
          <w:szCs w:val="20"/>
        </w:rPr>
        <w:t xml:space="preserve"> Ashley Bahrenfuss</w:t>
      </w:r>
      <w:r w:rsidR="00BE084F">
        <w:rPr>
          <w:rFonts w:asciiTheme="minorHAnsi" w:hAnsiTheme="minorHAnsi" w:cs="Calibri Light"/>
          <w:sz w:val="20"/>
          <w:szCs w:val="20"/>
        </w:rPr>
        <w:t>.</w:t>
      </w:r>
    </w:p>
    <w:p w:rsidR="000F6B4F" w:rsidRPr="00977FAE" w:rsidRDefault="000F6B4F" w:rsidP="00977FA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Default="001A4B7E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1B5582" w:rsidRDefault="00E74E30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E74E30" w:rsidRDefault="00E74E30" w:rsidP="7A43B6A3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642762" w:rsidRPr="00676F96" w:rsidRDefault="00F93DD5" w:rsidP="00D4792C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="00676F96"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977FAE">
        <w:rPr>
          <w:rFonts w:asciiTheme="minorHAnsi" w:hAnsiTheme="minorHAnsi" w:cs="Calibri Light"/>
          <w:b/>
          <w:sz w:val="20"/>
          <w:szCs w:val="20"/>
        </w:rPr>
        <w:t>2-</w:t>
      </w:r>
      <w:r w:rsidR="000F6B4F">
        <w:rPr>
          <w:rFonts w:asciiTheme="minorHAnsi" w:hAnsiTheme="minorHAnsi" w:cs="Calibri Light"/>
          <w:b/>
          <w:sz w:val="20"/>
          <w:szCs w:val="20"/>
        </w:rPr>
        <w:t>0</w:t>
      </w:r>
      <w:r w:rsidR="00182AB1">
        <w:rPr>
          <w:rFonts w:asciiTheme="minorHAnsi" w:hAnsiTheme="minorHAnsi" w:cs="Calibri Light"/>
          <w:b/>
          <w:sz w:val="20"/>
          <w:szCs w:val="20"/>
        </w:rPr>
        <w:t>43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3E7FB0">
        <w:rPr>
          <w:rFonts w:asciiTheme="minorHAnsi" w:hAnsiTheme="minorHAnsi" w:cs="Calibri Light"/>
          <w:sz w:val="20"/>
          <w:szCs w:val="20"/>
        </w:rPr>
        <w:t xml:space="preserve"> </w:t>
      </w:r>
      <w:r w:rsidR="00E74E30">
        <w:rPr>
          <w:rFonts w:asciiTheme="minorHAnsi" w:hAnsiTheme="minorHAnsi" w:cs="Calibri Light"/>
          <w:sz w:val="20"/>
          <w:szCs w:val="20"/>
        </w:rPr>
        <w:t xml:space="preserve">Klinkhammer, second by Eich </w:t>
      </w:r>
      <w:r w:rsidR="00EB7F3B">
        <w:rPr>
          <w:rFonts w:asciiTheme="minorHAnsi" w:hAnsiTheme="minorHAnsi" w:cs="Calibri Light"/>
          <w:sz w:val="20"/>
          <w:szCs w:val="20"/>
        </w:rPr>
        <w:t>to adjourn the meeting at</w:t>
      </w:r>
      <w:r w:rsidR="00E74E30">
        <w:rPr>
          <w:rFonts w:asciiTheme="minorHAnsi" w:hAnsiTheme="minorHAnsi" w:cs="Calibri Light"/>
          <w:sz w:val="20"/>
          <w:szCs w:val="20"/>
        </w:rPr>
        <w:t xml:space="preserve"> 6:29</w:t>
      </w:r>
      <w:r w:rsidR="00A74071">
        <w:rPr>
          <w:rFonts w:asciiTheme="minorHAnsi" w:hAnsiTheme="minorHAnsi" w:cs="Calibri Light"/>
          <w:sz w:val="20"/>
          <w:szCs w:val="20"/>
        </w:rPr>
        <w:t xml:space="preserve"> </w:t>
      </w:r>
      <w:r w:rsidR="005F2AD8">
        <w:rPr>
          <w:rFonts w:asciiTheme="minorHAnsi" w:hAnsiTheme="minorHAnsi" w:cs="Calibri Light"/>
          <w:sz w:val="20"/>
          <w:szCs w:val="20"/>
        </w:rPr>
        <w:t>p.m.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C2097A" w:rsidRDefault="00C2097A" w:rsidP="00811B1D">
      <w:pPr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3257F1" w:rsidRDefault="003257F1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56" w:rsidRDefault="007C6756" w:rsidP="0022651E">
      <w:r>
        <w:separator/>
      </w:r>
    </w:p>
  </w:endnote>
  <w:endnote w:type="continuationSeparator" w:id="0">
    <w:p w:rsidR="007C6756" w:rsidRDefault="007C6756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56" w:rsidRDefault="007C6756" w:rsidP="0022651E">
      <w:r>
        <w:separator/>
      </w:r>
    </w:p>
  </w:footnote>
  <w:footnote w:type="continuationSeparator" w:id="0">
    <w:p w:rsidR="007C6756" w:rsidRDefault="007C6756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219"/>
    <w:multiLevelType w:val="multilevel"/>
    <w:tmpl w:val="F886DEF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A5EC1"/>
    <w:multiLevelType w:val="multilevel"/>
    <w:tmpl w:val="A32A1D2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74E4F"/>
    <w:multiLevelType w:val="multilevel"/>
    <w:tmpl w:val="F1805D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6229"/>
    <w:multiLevelType w:val="hybridMultilevel"/>
    <w:tmpl w:val="139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03FD"/>
    <w:multiLevelType w:val="multilevel"/>
    <w:tmpl w:val="3F504AB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4C73"/>
    <w:multiLevelType w:val="multilevel"/>
    <w:tmpl w:val="3DF421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93508"/>
    <w:multiLevelType w:val="multilevel"/>
    <w:tmpl w:val="594C450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59F4"/>
    <w:multiLevelType w:val="multilevel"/>
    <w:tmpl w:val="5D3E6F9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2719A"/>
    <w:multiLevelType w:val="hybridMultilevel"/>
    <w:tmpl w:val="8998280A"/>
    <w:lvl w:ilvl="0" w:tplc="EF926622"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A68B9"/>
    <w:multiLevelType w:val="multilevel"/>
    <w:tmpl w:val="7BBC6FF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49122E"/>
    <w:multiLevelType w:val="hybridMultilevel"/>
    <w:tmpl w:val="6A4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342B"/>
    <w:multiLevelType w:val="multilevel"/>
    <w:tmpl w:val="1098ED7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63217"/>
    <w:multiLevelType w:val="multilevel"/>
    <w:tmpl w:val="CF463B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AC3066"/>
    <w:multiLevelType w:val="multilevel"/>
    <w:tmpl w:val="D64479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3788"/>
    <w:multiLevelType w:val="multilevel"/>
    <w:tmpl w:val="24C4ED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F4ED5"/>
    <w:multiLevelType w:val="multilevel"/>
    <w:tmpl w:val="13949B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0D3C8A"/>
    <w:multiLevelType w:val="hybridMultilevel"/>
    <w:tmpl w:val="531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B904F2A">
      <w:start w:val="1"/>
      <w:numFmt w:val="lowerRoman"/>
      <w:lvlText w:val="%3."/>
      <w:lvlJc w:val="right"/>
      <w:pPr>
        <w:ind w:left="2160" w:hanging="180"/>
      </w:pPr>
    </w:lvl>
    <w:lvl w:ilvl="3" w:tplc="77AA1AE2">
      <w:start w:val="1"/>
      <w:numFmt w:val="decimal"/>
      <w:lvlText w:val="%4."/>
      <w:lvlJc w:val="left"/>
      <w:pPr>
        <w:ind w:left="2880" w:hanging="360"/>
      </w:pPr>
    </w:lvl>
    <w:lvl w:ilvl="4" w:tplc="B2EA40CC">
      <w:start w:val="1"/>
      <w:numFmt w:val="lowerLetter"/>
      <w:lvlText w:val="%5."/>
      <w:lvlJc w:val="left"/>
      <w:pPr>
        <w:ind w:left="3600" w:hanging="360"/>
      </w:pPr>
    </w:lvl>
    <w:lvl w:ilvl="5" w:tplc="64301CB4">
      <w:start w:val="1"/>
      <w:numFmt w:val="lowerRoman"/>
      <w:lvlText w:val="%6."/>
      <w:lvlJc w:val="right"/>
      <w:pPr>
        <w:ind w:left="4320" w:hanging="180"/>
      </w:pPr>
    </w:lvl>
    <w:lvl w:ilvl="6" w:tplc="714CD068">
      <w:start w:val="1"/>
      <w:numFmt w:val="decimal"/>
      <w:lvlText w:val="%7."/>
      <w:lvlJc w:val="left"/>
      <w:pPr>
        <w:ind w:left="5040" w:hanging="360"/>
      </w:pPr>
    </w:lvl>
    <w:lvl w:ilvl="7" w:tplc="B5C855AC">
      <w:start w:val="1"/>
      <w:numFmt w:val="lowerLetter"/>
      <w:lvlText w:val="%8."/>
      <w:lvlJc w:val="left"/>
      <w:pPr>
        <w:ind w:left="5760" w:hanging="360"/>
      </w:pPr>
    </w:lvl>
    <w:lvl w:ilvl="8" w:tplc="1A5A5F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E4041"/>
    <w:multiLevelType w:val="multilevel"/>
    <w:tmpl w:val="868289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A409F"/>
    <w:multiLevelType w:val="multilevel"/>
    <w:tmpl w:val="A0D21FDC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0331D3"/>
    <w:multiLevelType w:val="hybridMultilevel"/>
    <w:tmpl w:val="778E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25C4"/>
    <w:multiLevelType w:val="multilevel"/>
    <w:tmpl w:val="155CE3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20B19"/>
    <w:multiLevelType w:val="multilevel"/>
    <w:tmpl w:val="D9B2425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A74CD"/>
    <w:multiLevelType w:val="multilevel"/>
    <w:tmpl w:val="578616B8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FA0476"/>
    <w:multiLevelType w:val="multilevel"/>
    <w:tmpl w:val="911AFD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C0BC6"/>
    <w:multiLevelType w:val="multilevel"/>
    <w:tmpl w:val="A35CB072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4C6511"/>
    <w:multiLevelType w:val="hybridMultilevel"/>
    <w:tmpl w:val="0D3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663C"/>
    <w:multiLevelType w:val="multilevel"/>
    <w:tmpl w:val="D21C0B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95F3C"/>
    <w:multiLevelType w:val="multilevel"/>
    <w:tmpl w:val="9FD2AD42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C2D4C"/>
    <w:multiLevelType w:val="multilevel"/>
    <w:tmpl w:val="D6389F1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66AC6"/>
    <w:multiLevelType w:val="multilevel"/>
    <w:tmpl w:val="F79E04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587C49"/>
    <w:multiLevelType w:val="multilevel"/>
    <w:tmpl w:val="97226D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358B0"/>
    <w:multiLevelType w:val="hybridMultilevel"/>
    <w:tmpl w:val="21B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2"/>
  </w:num>
  <w:num w:numId="4">
    <w:abstractNumId w:val="12"/>
  </w:num>
  <w:num w:numId="5">
    <w:abstractNumId w:val="32"/>
  </w:num>
  <w:num w:numId="6">
    <w:abstractNumId w:val="28"/>
  </w:num>
  <w:num w:numId="7">
    <w:abstractNumId w:val="13"/>
  </w:num>
  <w:num w:numId="8">
    <w:abstractNumId w:val="30"/>
  </w:num>
  <w:num w:numId="9">
    <w:abstractNumId w:val="10"/>
  </w:num>
  <w:num w:numId="10">
    <w:abstractNumId w:val="0"/>
  </w:num>
  <w:num w:numId="11">
    <w:abstractNumId w:val="15"/>
  </w:num>
  <w:num w:numId="12">
    <w:abstractNumId w:val="20"/>
  </w:num>
  <w:num w:numId="13">
    <w:abstractNumId w:val="26"/>
  </w:num>
  <w:num w:numId="14">
    <w:abstractNumId w:val="24"/>
  </w:num>
  <w:num w:numId="15">
    <w:abstractNumId w:val="29"/>
  </w:num>
  <w:num w:numId="16">
    <w:abstractNumId w:val="21"/>
  </w:num>
  <w:num w:numId="17">
    <w:abstractNumId w:val="34"/>
  </w:num>
  <w:num w:numId="18">
    <w:abstractNumId w:val="4"/>
  </w:num>
  <w:num w:numId="19">
    <w:abstractNumId w:val="16"/>
  </w:num>
  <w:num w:numId="20">
    <w:abstractNumId w:val="25"/>
  </w:num>
  <w:num w:numId="21">
    <w:abstractNumId w:val="6"/>
  </w:num>
  <w:num w:numId="22">
    <w:abstractNumId w:val="31"/>
  </w:num>
  <w:num w:numId="23">
    <w:abstractNumId w:val="17"/>
  </w:num>
  <w:num w:numId="24">
    <w:abstractNumId w:val="5"/>
  </w:num>
  <w:num w:numId="25">
    <w:abstractNumId w:val="19"/>
  </w:num>
  <w:num w:numId="26">
    <w:abstractNumId w:val="14"/>
  </w:num>
  <w:num w:numId="27">
    <w:abstractNumId w:val="7"/>
  </w:num>
  <w:num w:numId="28">
    <w:abstractNumId w:val="1"/>
  </w:num>
  <w:num w:numId="29">
    <w:abstractNumId w:val="23"/>
  </w:num>
  <w:num w:numId="30">
    <w:abstractNumId w:val="8"/>
  </w:num>
  <w:num w:numId="31">
    <w:abstractNumId w:val="27"/>
  </w:num>
  <w:num w:numId="32">
    <w:abstractNumId w:val="11"/>
  </w:num>
  <w:num w:numId="33">
    <w:abstractNumId w:val="9"/>
  </w:num>
  <w:num w:numId="34">
    <w:abstractNumId w:val="18"/>
  </w:num>
  <w:num w:numId="35">
    <w:abstractNumId w:val="3"/>
  </w:num>
  <w:num w:numId="3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18B7"/>
    <w:rsid w:val="00022274"/>
    <w:rsid w:val="00022A32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D7A"/>
    <w:rsid w:val="00053911"/>
    <w:rsid w:val="000547CF"/>
    <w:rsid w:val="000601C9"/>
    <w:rsid w:val="00062929"/>
    <w:rsid w:val="000630C3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4330"/>
    <w:rsid w:val="000A444E"/>
    <w:rsid w:val="000A513D"/>
    <w:rsid w:val="000A58D9"/>
    <w:rsid w:val="000A6A3E"/>
    <w:rsid w:val="000A74D2"/>
    <w:rsid w:val="000B005D"/>
    <w:rsid w:val="000B16DB"/>
    <w:rsid w:val="000B3C81"/>
    <w:rsid w:val="000B54FF"/>
    <w:rsid w:val="000B5AAC"/>
    <w:rsid w:val="000B64FC"/>
    <w:rsid w:val="000B68AB"/>
    <w:rsid w:val="000B7B07"/>
    <w:rsid w:val="000C146E"/>
    <w:rsid w:val="000C1C26"/>
    <w:rsid w:val="000C2AAE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43D"/>
    <w:rsid w:val="000E3DF2"/>
    <w:rsid w:val="000E568A"/>
    <w:rsid w:val="000E6624"/>
    <w:rsid w:val="000E6990"/>
    <w:rsid w:val="000F1862"/>
    <w:rsid w:val="000F1E81"/>
    <w:rsid w:val="000F343D"/>
    <w:rsid w:val="000F3BBD"/>
    <w:rsid w:val="000F4D81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E90"/>
    <w:rsid w:val="0010762D"/>
    <w:rsid w:val="0011003F"/>
    <w:rsid w:val="00110C5C"/>
    <w:rsid w:val="001113FC"/>
    <w:rsid w:val="00112709"/>
    <w:rsid w:val="00112971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7083"/>
    <w:rsid w:val="001374E9"/>
    <w:rsid w:val="00141C45"/>
    <w:rsid w:val="0014268A"/>
    <w:rsid w:val="0014324A"/>
    <w:rsid w:val="001449B0"/>
    <w:rsid w:val="00146831"/>
    <w:rsid w:val="0015013C"/>
    <w:rsid w:val="001508D3"/>
    <w:rsid w:val="00151678"/>
    <w:rsid w:val="00151AEA"/>
    <w:rsid w:val="00152005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292B"/>
    <w:rsid w:val="00173289"/>
    <w:rsid w:val="00174CC9"/>
    <w:rsid w:val="0017685A"/>
    <w:rsid w:val="0018035A"/>
    <w:rsid w:val="0018069D"/>
    <w:rsid w:val="00181957"/>
    <w:rsid w:val="00182AB1"/>
    <w:rsid w:val="00182E69"/>
    <w:rsid w:val="00183F95"/>
    <w:rsid w:val="001857E7"/>
    <w:rsid w:val="00185984"/>
    <w:rsid w:val="001872E7"/>
    <w:rsid w:val="00190C6E"/>
    <w:rsid w:val="00192405"/>
    <w:rsid w:val="00193568"/>
    <w:rsid w:val="001945AD"/>
    <w:rsid w:val="00194E67"/>
    <w:rsid w:val="00195643"/>
    <w:rsid w:val="00196286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5404"/>
    <w:rsid w:val="001B5582"/>
    <w:rsid w:val="001B6B9C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D0705"/>
    <w:rsid w:val="001E1B10"/>
    <w:rsid w:val="001E4A14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2C4"/>
    <w:rsid w:val="00210AA9"/>
    <w:rsid w:val="0021285B"/>
    <w:rsid w:val="00213253"/>
    <w:rsid w:val="00213C53"/>
    <w:rsid w:val="00214947"/>
    <w:rsid w:val="00214E03"/>
    <w:rsid w:val="0021653D"/>
    <w:rsid w:val="00220EE8"/>
    <w:rsid w:val="00221433"/>
    <w:rsid w:val="002217BB"/>
    <w:rsid w:val="0022210A"/>
    <w:rsid w:val="002225F5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7710"/>
    <w:rsid w:val="00261BDD"/>
    <w:rsid w:val="0026214F"/>
    <w:rsid w:val="0026329C"/>
    <w:rsid w:val="00264010"/>
    <w:rsid w:val="00264A2D"/>
    <w:rsid w:val="002650DA"/>
    <w:rsid w:val="00265850"/>
    <w:rsid w:val="00266840"/>
    <w:rsid w:val="00266CBC"/>
    <w:rsid w:val="0026724A"/>
    <w:rsid w:val="00267780"/>
    <w:rsid w:val="00267D8D"/>
    <w:rsid w:val="002715F5"/>
    <w:rsid w:val="002722AF"/>
    <w:rsid w:val="00272BAA"/>
    <w:rsid w:val="002741DF"/>
    <w:rsid w:val="002749C0"/>
    <w:rsid w:val="00275260"/>
    <w:rsid w:val="00276181"/>
    <w:rsid w:val="00276CDD"/>
    <w:rsid w:val="00283554"/>
    <w:rsid w:val="002837C2"/>
    <w:rsid w:val="002850E9"/>
    <w:rsid w:val="0028723A"/>
    <w:rsid w:val="00287E9C"/>
    <w:rsid w:val="00292198"/>
    <w:rsid w:val="002939EA"/>
    <w:rsid w:val="00293BE9"/>
    <w:rsid w:val="002946ED"/>
    <w:rsid w:val="002947AC"/>
    <w:rsid w:val="00296D26"/>
    <w:rsid w:val="00296E1E"/>
    <w:rsid w:val="00296E95"/>
    <w:rsid w:val="002A23C4"/>
    <w:rsid w:val="002A44C2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605B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4249"/>
    <w:rsid w:val="002E56BF"/>
    <w:rsid w:val="002E5D13"/>
    <w:rsid w:val="002E63F4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127B9"/>
    <w:rsid w:val="00313310"/>
    <w:rsid w:val="003149D6"/>
    <w:rsid w:val="003157BE"/>
    <w:rsid w:val="00315BB8"/>
    <w:rsid w:val="00315DD5"/>
    <w:rsid w:val="0031658A"/>
    <w:rsid w:val="00317D26"/>
    <w:rsid w:val="00320591"/>
    <w:rsid w:val="00320C84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38CF"/>
    <w:rsid w:val="00354B11"/>
    <w:rsid w:val="0035593C"/>
    <w:rsid w:val="0035697C"/>
    <w:rsid w:val="003601CC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930"/>
    <w:rsid w:val="00375EA0"/>
    <w:rsid w:val="00376F91"/>
    <w:rsid w:val="003776DB"/>
    <w:rsid w:val="00380346"/>
    <w:rsid w:val="00380C6F"/>
    <w:rsid w:val="00380EC4"/>
    <w:rsid w:val="0038115B"/>
    <w:rsid w:val="00383279"/>
    <w:rsid w:val="00386C86"/>
    <w:rsid w:val="0038761F"/>
    <w:rsid w:val="003902F1"/>
    <w:rsid w:val="0039035B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1914"/>
    <w:rsid w:val="003A1C55"/>
    <w:rsid w:val="003A22B9"/>
    <w:rsid w:val="003A247B"/>
    <w:rsid w:val="003A2DBA"/>
    <w:rsid w:val="003A42DD"/>
    <w:rsid w:val="003A4A36"/>
    <w:rsid w:val="003A58E8"/>
    <w:rsid w:val="003A65DC"/>
    <w:rsid w:val="003B2182"/>
    <w:rsid w:val="003B4D08"/>
    <w:rsid w:val="003B5BAE"/>
    <w:rsid w:val="003B5C95"/>
    <w:rsid w:val="003B5E69"/>
    <w:rsid w:val="003B63BD"/>
    <w:rsid w:val="003B674A"/>
    <w:rsid w:val="003B6E3F"/>
    <w:rsid w:val="003C4516"/>
    <w:rsid w:val="003C63DF"/>
    <w:rsid w:val="003D0C51"/>
    <w:rsid w:val="003D36B6"/>
    <w:rsid w:val="003D38D0"/>
    <w:rsid w:val="003D465B"/>
    <w:rsid w:val="003D465E"/>
    <w:rsid w:val="003D650D"/>
    <w:rsid w:val="003D6C59"/>
    <w:rsid w:val="003D6C7C"/>
    <w:rsid w:val="003D7EFB"/>
    <w:rsid w:val="003E15F0"/>
    <w:rsid w:val="003E3C20"/>
    <w:rsid w:val="003E3D56"/>
    <w:rsid w:val="003E6396"/>
    <w:rsid w:val="003E79A8"/>
    <w:rsid w:val="003E7DE3"/>
    <w:rsid w:val="003E7FB0"/>
    <w:rsid w:val="003F01F7"/>
    <w:rsid w:val="003F0C87"/>
    <w:rsid w:val="003F0FBC"/>
    <w:rsid w:val="003F2AEF"/>
    <w:rsid w:val="003F2CA6"/>
    <w:rsid w:val="003F39F7"/>
    <w:rsid w:val="003F4D5B"/>
    <w:rsid w:val="003F4DDB"/>
    <w:rsid w:val="003F56CB"/>
    <w:rsid w:val="003F58EE"/>
    <w:rsid w:val="003F5935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94"/>
    <w:rsid w:val="00435E81"/>
    <w:rsid w:val="00436B24"/>
    <w:rsid w:val="0043727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47EF3"/>
    <w:rsid w:val="0045214D"/>
    <w:rsid w:val="00453415"/>
    <w:rsid w:val="004535CB"/>
    <w:rsid w:val="004563E8"/>
    <w:rsid w:val="0045738A"/>
    <w:rsid w:val="00460CCE"/>
    <w:rsid w:val="0046186F"/>
    <w:rsid w:val="00462E4F"/>
    <w:rsid w:val="00463F81"/>
    <w:rsid w:val="0046440F"/>
    <w:rsid w:val="004648C4"/>
    <w:rsid w:val="004654BE"/>
    <w:rsid w:val="00466923"/>
    <w:rsid w:val="004713E9"/>
    <w:rsid w:val="00471555"/>
    <w:rsid w:val="004750EA"/>
    <w:rsid w:val="00475C0B"/>
    <w:rsid w:val="004769C8"/>
    <w:rsid w:val="00477A8F"/>
    <w:rsid w:val="004806EC"/>
    <w:rsid w:val="00481395"/>
    <w:rsid w:val="0048150C"/>
    <w:rsid w:val="00481549"/>
    <w:rsid w:val="004824DF"/>
    <w:rsid w:val="0048384E"/>
    <w:rsid w:val="004845F8"/>
    <w:rsid w:val="00484B56"/>
    <w:rsid w:val="0048619D"/>
    <w:rsid w:val="004865A3"/>
    <w:rsid w:val="00486BAF"/>
    <w:rsid w:val="00487653"/>
    <w:rsid w:val="00490A24"/>
    <w:rsid w:val="00490DD3"/>
    <w:rsid w:val="004929E0"/>
    <w:rsid w:val="00494C53"/>
    <w:rsid w:val="004962A3"/>
    <w:rsid w:val="004965D2"/>
    <w:rsid w:val="004979EB"/>
    <w:rsid w:val="00497BD7"/>
    <w:rsid w:val="004A0424"/>
    <w:rsid w:val="004A0453"/>
    <w:rsid w:val="004A066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4641"/>
    <w:rsid w:val="004B4975"/>
    <w:rsid w:val="004B626E"/>
    <w:rsid w:val="004C031A"/>
    <w:rsid w:val="004C06DE"/>
    <w:rsid w:val="004C0BF7"/>
    <w:rsid w:val="004C3117"/>
    <w:rsid w:val="004C5029"/>
    <w:rsid w:val="004C5E7C"/>
    <w:rsid w:val="004C6025"/>
    <w:rsid w:val="004C6649"/>
    <w:rsid w:val="004C7DF6"/>
    <w:rsid w:val="004D055A"/>
    <w:rsid w:val="004D08E1"/>
    <w:rsid w:val="004D11C5"/>
    <w:rsid w:val="004D1F76"/>
    <w:rsid w:val="004D2E9C"/>
    <w:rsid w:val="004D315C"/>
    <w:rsid w:val="004D38F3"/>
    <w:rsid w:val="004D3FED"/>
    <w:rsid w:val="004D5361"/>
    <w:rsid w:val="004D5521"/>
    <w:rsid w:val="004D7C74"/>
    <w:rsid w:val="004E0EDB"/>
    <w:rsid w:val="004E1B7D"/>
    <w:rsid w:val="004E2ED1"/>
    <w:rsid w:val="004E3237"/>
    <w:rsid w:val="004E421E"/>
    <w:rsid w:val="004E4BE9"/>
    <w:rsid w:val="004E7147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45C7"/>
    <w:rsid w:val="005354BA"/>
    <w:rsid w:val="00535575"/>
    <w:rsid w:val="00536FEA"/>
    <w:rsid w:val="00540FCA"/>
    <w:rsid w:val="00542760"/>
    <w:rsid w:val="00543246"/>
    <w:rsid w:val="0054472C"/>
    <w:rsid w:val="005523F4"/>
    <w:rsid w:val="00552712"/>
    <w:rsid w:val="005546E3"/>
    <w:rsid w:val="005557A1"/>
    <w:rsid w:val="005575C6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9361D"/>
    <w:rsid w:val="0059403D"/>
    <w:rsid w:val="00597610"/>
    <w:rsid w:val="005A16B2"/>
    <w:rsid w:val="005A31F6"/>
    <w:rsid w:val="005A5F48"/>
    <w:rsid w:val="005A7813"/>
    <w:rsid w:val="005B0981"/>
    <w:rsid w:val="005B0B78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34C6"/>
    <w:rsid w:val="005D3CD7"/>
    <w:rsid w:val="005D4295"/>
    <w:rsid w:val="005D446A"/>
    <w:rsid w:val="005D511F"/>
    <w:rsid w:val="005D5205"/>
    <w:rsid w:val="005D799B"/>
    <w:rsid w:val="005D7F5C"/>
    <w:rsid w:val="005E05D8"/>
    <w:rsid w:val="005E1164"/>
    <w:rsid w:val="005E15B3"/>
    <w:rsid w:val="005E1E61"/>
    <w:rsid w:val="005E25EF"/>
    <w:rsid w:val="005E2877"/>
    <w:rsid w:val="005E4B59"/>
    <w:rsid w:val="005E5A0A"/>
    <w:rsid w:val="005E618B"/>
    <w:rsid w:val="005F18A0"/>
    <w:rsid w:val="005F2AD8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DDE"/>
    <w:rsid w:val="0061186D"/>
    <w:rsid w:val="0061191D"/>
    <w:rsid w:val="00615162"/>
    <w:rsid w:val="00620007"/>
    <w:rsid w:val="00620218"/>
    <w:rsid w:val="0062092B"/>
    <w:rsid w:val="0062218E"/>
    <w:rsid w:val="00622287"/>
    <w:rsid w:val="00624869"/>
    <w:rsid w:val="00624F3F"/>
    <w:rsid w:val="00626C8E"/>
    <w:rsid w:val="00626F9E"/>
    <w:rsid w:val="00627D4E"/>
    <w:rsid w:val="006305F3"/>
    <w:rsid w:val="00633F90"/>
    <w:rsid w:val="006347ED"/>
    <w:rsid w:val="00634F21"/>
    <w:rsid w:val="00637FE5"/>
    <w:rsid w:val="00641082"/>
    <w:rsid w:val="006414F1"/>
    <w:rsid w:val="00642762"/>
    <w:rsid w:val="00642FE3"/>
    <w:rsid w:val="00643667"/>
    <w:rsid w:val="006477D2"/>
    <w:rsid w:val="00647879"/>
    <w:rsid w:val="00647A0A"/>
    <w:rsid w:val="00651440"/>
    <w:rsid w:val="0065171B"/>
    <w:rsid w:val="006518CF"/>
    <w:rsid w:val="006520FB"/>
    <w:rsid w:val="00652A07"/>
    <w:rsid w:val="006545B6"/>
    <w:rsid w:val="00654795"/>
    <w:rsid w:val="006550DE"/>
    <w:rsid w:val="00655CCA"/>
    <w:rsid w:val="00655D43"/>
    <w:rsid w:val="00656052"/>
    <w:rsid w:val="00656F84"/>
    <w:rsid w:val="00661F18"/>
    <w:rsid w:val="00666E60"/>
    <w:rsid w:val="006673EB"/>
    <w:rsid w:val="00667499"/>
    <w:rsid w:val="00670231"/>
    <w:rsid w:val="00671A2E"/>
    <w:rsid w:val="00673F0A"/>
    <w:rsid w:val="006740D6"/>
    <w:rsid w:val="00674554"/>
    <w:rsid w:val="00675214"/>
    <w:rsid w:val="006756EE"/>
    <w:rsid w:val="00676F96"/>
    <w:rsid w:val="006809BC"/>
    <w:rsid w:val="00681353"/>
    <w:rsid w:val="00682596"/>
    <w:rsid w:val="006836C6"/>
    <w:rsid w:val="00683D71"/>
    <w:rsid w:val="00683FC7"/>
    <w:rsid w:val="006841FA"/>
    <w:rsid w:val="00685E2E"/>
    <w:rsid w:val="0068649E"/>
    <w:rsid w:val="00690570"/>
    <w:rsid w:val="00692AEA"/>
    <w:rsid w:val="006937D9"/>
    <w:rsid w:val="00695327"/>
    <w:rsid w:val="0069555B"/>
    <w:rsid w:val="006956F1"/>
    <w:rsid w:val="006A33BD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982"/>
    <w:rsid w:val="006B5C75"/>
    <w:rsid w:val="006B6BBF"/>
    <w:rsid w:val="006B7287"/>
    <w:rsid w:val="006C36DB"/>
    <w:rsid w:val="006C4499"/>
    <w:rsid w:val="006C5023"/>
    <w:rsid w:val="006C6B91"/>
    <w:rsid w:val="006C6D22"/>
    <w:rsid w:val="006D07BD"/>
    <w:rsid w:val="006D0CE1"/>
    <w:rsid w:val="006D2404"/>
    <w:rsid w:val="006D3F59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530"/>
    <w:rsid w:val="006E7AE1"/>
    <w:rsid w:val="006E7B57"/>
    <w:rsid w:val="006F03C6"/>
    <w:rsid w:val="006F1922"/>
    <w:rsid w:val="006F2D56"/>
    <w:rsid w:val="006F300F"/>
    <w:rsid w:val="006F7A04"/>
    <w:rsid w:val="006F7B36"/>
    <w:rsid w:val="00701906"/>
    <w:rsid w:val="007021B1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34C0"/>
    <w:rsid w:val="00717BFC"/>
    <w:rsid w:val="00720249"/>
    <w:rsid w:val="00720C43"/>
    <w:rsid w:val="00722E4F"/>
    <w:rsid w:val="00723B54"/>
    <w:rsid w:val="00723D22"/>
    <w:rsid w:val="00725CBC"/>
    <w:rsid w:val="00726A0C"/>
    <w:rsid w:val="00726EF4"/>
    <w:rsid w:val="007273C2"/>
    <w:rsid w:val="00727A7F"/>
    <w:rsid w:val="00730188"/>
    <w:rsid w:val="00730E64"/>
    <w:rsid w:val="00732D66"/>
    <w:rsid w:val="007401C8"/>
    <w:rsid w:val="0074088B"/>
    <w:rsid w:val="007414F5"/>
    <w:rsid w:val="00741C94"/>
    <w:rsid w:val="00742B2E"/>
    <w:rsid w:val="00742F01"/>
    <w:rsid w:val="007452E7"/>
    <w:rsid w:val="0075049A"/>
    <w:rsid w:val="007537F3"/>
    <w:rsid w:val="00754277"/>
    <w:rsid w:val="00754E46"/>
    <w:rsid w:val="00757CDA"/>
    <w:rsid w:val="0076097A"/>
    <w:rsid w:val="00760C4D"/>
    <w:rsid w:val="00761F22"/>
    <w:rsid w:val="00763AAC"/>
    <w:rsid w:val="00764F80"/>
    <w:rsid w:val="00770213"/>
    <w:rsid w:val="0077063C"/>
    <w:rsid w:val="00771BDA"/>
    <w:rsid w:val="00771E95"/>
    <w:rsid w:val="00772582"/>
    <w:rsid w:val="00772D2F"/>
    <w:rsid w:val="007731C7"/>
    <w:rsid w:val="00774F14"/>
    <w:rsid w:val="00775F91"/>
    <w:rsid w:val="007763C7"/>
    <w:rsid w:val="00777BF8"/>
    <w:rsid w:val="007800A4"/>
    <w:rsid w:val="00782CEC"/>
    <w:rsid w:val="007831E0"/>
    <w:rsid w:val="00783931"/>
    <w:rsid w:val="00784C24"/>
    <w:rsid w:val="00784D56"/>
    <w:rsid w:val="00784F8E"/>
    <w:rsid w:val="007866CE"/>
    <w:rsid w:val="0078794E"/>
    <w:rsid w:val="00787C00"/>
    <w:rsid w:val="00787EB4"/>
    <w:rsid w:val="0079005D"/>
    <w:rsid w:val="00790AB8"/>
    <w:rsid w:val="0079130B"/>
    <w:rsid w:val="0079196E"/>
    <w:rsid w:val="00791A6E"/>
    <w:rsid w:val="00792BD8"/>
    <w:rsid w:val="0079375B"/>
    <w:rsid w:val="007947DA"/>
    <w:rsid w:val="007A10D5"/>
    <w:rsid w:val="007A1AA4"/>
    <w:rsid w:val="007A245F"/>
    <w:rsid w:val="007A3F21"/>
    <w:rsid w:val="007A4EB2"/>
    <w:rsid w:val="007A5041"/>
    <w:rsid w:val="007A6A76"/>
    <w:rsid w:val="007A6C99"/>
    <w:rsid w:val="007B0E6F"/>
    <w:rsid w:val="007B1B71"/>
    <w:rsid w:val="007B1CAE"/>
    <w:rsid w:val="007B4086"/>
    <w:rsid w:val="007B4CF5"/>
    <w:rsid w:val="007B7FBE"/>
    <w:rsid w:val="007C0979"/>
    <w:rsid w:val="007C0BBF"/>
    <w:rsid w:val="007C11DF"/>
    <w:rsid w:val="007C28F0"/>
    <w:rsid w:val="007C4853"/>
    <w:rsid w:val="007C5593"/>
    <w:rsid w:val="007C61FA"/>
    <w:rsid w:val="007C6756"/>
    <w:rsid w:val="007C70F8"/>
    <w:rsid w:val="007D01F4"/>
    <w:rsid w:val="007D0CBB"/>
    <w:rsid w:val="007D1901"/>
    <w:rsid w:val="007D4941"/>
    <w:rsid w:val="007D4FB8"/>
    <w:rsid w:val="007D61A0"/>
    <w:rsid w:val="007E1021"/>
    <w:rsid w:val="007E1548"/>
    <w:rsid w:val="007E1995"/>
    <w:rsid w:val="007E6662"/>
    <w:rsid w:val="007E7636"/>
    <w:rsid w:val="007F1451"/>
    <w:rsid w:val="007F145B"/>
    <w:rsid w:val="007F267F"/>
    <w:rsid w:val="007F3902"/>
    <w:rsid w:val="007F4FE7"/>
    <w:rsid w:val="007F5972"/>
    <w:rsid w:val="007F7503"/>
    <w:rsid w:val="00800E8D"/>
    <w:rsid w:val="00802865"/>
    <w:rsid w:val="0080335E"/>
    <w:rsid w:val="00804346"/>
    <w:rsid w:val="00804D46"/>
    <w:rsid w:val="00806F27"/>
    <w:rsid w:val="00811B1D"/>
    <w:rsid w:val="00811D31"/>
    <w:rsid w:val="00814BEB"/>
    <w:rsid w:val="00814D8C"/>
    <w:rsid w:val="008173A0"/>
    <w:rsid w:val="0082234E"/>
    <w:rsid w:val="0082295F"/>
    <w:rsid w:val="00823191"/>
    <w:rsid w:val="00824A67"/>
    <w:rsid w:val="00827591"/>
    <w:rsid w:val="00830A27"/>
    <w:rsid w:val="00830B07"/>
    <w:rsid w:val="00831238"/>
    <w:rsid w:val="008322BF"/>
    <w:rsid w:val="00834D19"/>
    <w:rsid w:val="00834F41"/>
    <w:rsid w:val="00835FC0"/>
    <w:rsid w:val="008365B2"/>
    <w:rsid w:val="00836B96"/>
    <w:rsid w:val="00837102"/>
    <w:rsid w:val="008412BF"/>
    <w:rsid w:val="00841E34"/>
    <w:rsid w:val="0084631B"/>
    <w:rsid w:val="00846705"/>
    <w:rsid w:val="0085137F"/>
    <w:rsid w:val="00852D6B"/>
    <w:rsid w:val="00856D9D"/>
    <w:rsid w:val="00860050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EE"/>
    <w:rsid w:val="008660AF"/>
    <w:rsid w:val="00867F31"/>
    <w:rsid w:val="0087028B"/>
    <w:rsid w:val="00870542"/>
    <w:rsid w:val="00871155"/>
    <w:rsid w:val="00874C4D"/>
    <w:rsid w:val="008765BA"/>
    <w:rsid w:val="008769BA"/>
    <w:rsid w:val="0088161E"/>
    <w:rsid w:val="00882985"/>
    <w:rsid w:val="00884788"/>
    <w:rsid w:val="008860FD"/>
    <w:rsid w:val="00886917"/>
    <w:rsid w:val="00886C39"/>
    <w:rsid w:val="008900C9"/>
    <w:rsid w:val="0089043D"/>
    <w:rsid w:val="00890C4A"/>
    <w:rsid w:val="00891FF0"/>
    <w:rsid w:val="00892DD0"/>
    <w:rsid w:val="00893BE8"/>
    <w:rsid w:val="00894262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6788"/>
    <w:rsid w:val="008A72F7"/>
    <w:rsid w:val="008B2813"/>
    <w:rsid w:val="008B412B"/>
    <w:rsid w:val="008B5108"/>
    <w:rsid w:val="008B5971"/>
    <w:rsid w:val="008C18C0"/>
    <w:rsid w:val="008C4A7D"/>
    <w:rsid w:val="008C4AFD"/>
    <w:rsid w:val="008C6126"/>
    <w:rsid w:val="008C6BE8"/>
    <w:rsid w:val="008C766E"/>
    <w:rsid w:val="008D0127"/>
    <w:rsid w:val="008D0D30"/>
    <w:rsid w:val="008D1273"/>
    <w:rsid w:val="008D162E"/>
    <w:rsid w:val="008D24DD"/>
    <w:rsid w:val="008D442B"/>
    <w:rsid w:val="008D46EC"/>
    <w:rsid w:val="008D7330"/>
    <w:rsid w:val="008D77C0"/>
    <w:rsid w:val="008E2E4A"/>
    <w:rsid w:val="008E2E6C"/>
    <w:rsid w:val="008E2E77"/>
    <w:rsid w:val="008E35ED"/>
    <w:rsid w:val="008E3745"/>
    <w:rsid w:val="008E44EB"/>
    <w:rsid w:val="008E5019"/>
    <w:rsid w:val="008E62BE"/>
    <w:rsid w:val="008E698D"/>
    <w:rsid w:val="008F1A93"/>
    <w:rsid w:val="008F4DB9"/>
    <w:rsid w:val="008F52D3"/>
    <w:rsid w:val="008F6423"/>
    <w:rsid w:val="009007A4"/>
    <w:rsid w:val="00900CA3"/>
    <w:rsid w:val="00902291"/>
    <w:rsid w:val="00902875"/>
    <w:rsid w:val="00902F54"/>
    <w:rsid w:val="00905413"/>
    <w:rsid w:val="00907110"/>
    <w:rsid w:val="00907253"/>
    <w:rsid w:val="00907360"/>
    <w:rsid w:val="00907ED0"/>
    <w:rsid w:val="00912AEA"/>
    <w:rsid w:val="0091406F"/>
    <w:rsid w:val="00914BF8"/>
    <w:rsid w:val="00914F2F"/>
    <w:rsid w:val="00915C41"/>
    <w:rsid w:val="00920789"/>
    <w:rsid w:val="00921162"/>
    <w:rsid w:val="009249E3"/>
    <w:rsid w:val="00926823"/>
    <w:rsid w:val="009273E3"/>
    <w:rsid w:val="009274BF"/>
    <w:rsid w:val="00927CE7"/>
    <w:rsid w:val="0093035D"/>
    <w:rsid w:val="00932646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3FBC"/>
    <w:rsid w:val="00945B38"/>
    <w:rsid w:val="00946710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F2D"/>
    <w:rsid w:val="00975288"/>
    <w:rsid w:val="00975E89"/>
    <w:rsid w:val="00977CFE"/>
    <w:rsid w:val="00977FAE"/>
    <w:rsid w:val="00980286"/>
    <w:rsid w:val="00982E3E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718C"/>
    <w:rsid w:val="00997C63"/>
    <w:rsid w:val="009A109A"/>
    <w:rsid w:val="009A321D"/>
    <w:rsid w:val="009A50DB"/>
    <w:rsid w:val="009A5313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28B1"/>
    <w:rsid w:val="009D3248"/>
    <w:rsid w:val="009D3A5E"/>
    <w:rsid w:val="009D4C0A"/>
    <w:rsid w:val="009D4C7D"/>
    <w:rsid w:val="009D6362"/>
    <w:rsid w:val="009D6B5D"/>
    <w:rsid w:val="009D73B3"/>
    <w:rsid w:val="009E188C"/>
    <w:rsid w:val="009E1C40"/>
    <w:rsid w:val="009E1FA9"/>
    <w:rsid w:val="009E2838"/>
    <w:rsid w:val="009E4D16"/>
    <w:rsid w:val="009E4EBA"/>
    <w:rsid w:val="009F06EE"/>
    <w:rsid w:val="009F0ADD"/>
    <w:rsid w:val="009F0E3E"/>
    <w:rsid w:val="009F17E6"/>
    <w:rsid w:val="009F2BFE"/>
    <w:rsid w:val="009F4918"/>
    <w:rsid w:val="00A000EC"/>
    <w:rsid w:val="00A012C9"/>
    <w:rsid w:val="00A016C5"/>
    <w:rsid w:val="00A02147"/>
    <w:rsid w:val="00A075E5"/>
    <w:rsid w:val="00A103D1"/>
    <w:rsid w:val="00A152B0"/>
    <w:rsid w:val="00A15868"/>
    <w:rsid w:val="00A16AF0"/>
    <w:rsid w:val="00A16E6E"/>
    <w:rsid w:val="00A206CB"/>
    <w:rsid w:val="00A222A9"/>
    <w:rsid w:val="00A2541B"/>
    <w:rsid w:val="00A30672"/>
    <w:rsid w:val="00A307C9"/>
    <w:rsid w:val="00A33BB3"/>
    <w:rsid w:val="00A35A8B"/>
    <w:rsid w:val="00A363A4"/>
    <w:rsid w:val="00A369DE"/>
    <w:rsid w:val="00A36C0B"/>
    <w:rsid w:val="00A36D44"/>
    <w:rsid w:val="00A40B4B"/>
    <w:rsid w:val="00A42E2A"/>
    <w:rsid w:val="00A45788"/>
    <w:rsid w:val="00A46A33"/>
    <w:rsid w:val="00A46D8E"/>
    <w:rsid w:val="00A50D5B"/>
    <w:rsid w:val="00A5142D"/>
    <w:rsid w:val="00A525E8"/>
    <w:rsid w:val="00A52646"/>
    <w:rsid w:val="00A5321C"/>
    <w:rsid w:val="00A53259"/>
    <w:rsid w:val="00A55112"/>
    <w:rsid w:val="00A5617B"/>
    <w:rsid w:val="00A562AC"/>
    <w:rsid w:val="00A5665A"/>
    <w:rsid w:val="00A568E8"/>
    <w:rsid w:val="00A573E9"/>
    <w:rsid w:val="00A57AB7"/>
    <w:rsid w:val="00A6063F"/>
    <w:rsid w:val="00A6141B"/>
    <w:rsid w:val="00A61444"/>
    <w:rsid w:val="00A62541"/>
    <w:rsid w:val="00A627A3"/>
    <w:rsid w:val="00A6448E"/>
    <w:rsid w:val="00A652ED"/>
    <w:rsid w:val="00A71C4B"/>
    <w:rsid w:val="00A72D5B"/>
    <w:rsid w:val="00A72FC5"/>
    <w:rsid w:val="00A73C06"/>
    <w:rsid w:val="00A74071"/>
    <w:rsid w:val="00A749EE"/>
    <w:rsid w:val="00A766F6"/>
    <w:rsid w:val="00A77C1A"/>
    <w:rsid w:val="00A77C88"/>
    <w:rsid w:val="00A80336"/>
    <w:rsid w:val="00A80B4E"/>
    <w:rsid w:val="00A814EC"/>
    <w:rsid w:val="00A82C87"/>
    <w:rsid w:val="00A82E86"/>
    <w:rsid w:val="00A8481D"/>
    <w:rsid w:val="00A87D52"/>
    <w:rsid w:val="00A91C33"/>
    <w:rsid w:val="00A93451"/>
    <w:rsid w:val="00A94208"/>
    <w:rsid w:val="00A94286"/>
    <w:rsid w:val="00A95BD2"/>
    <w:rsid w:val="00A9787D"/>
    <w:rsid w:val="00AA0E69"/>
    <w:rsid w:val="00AA21D4"/>
    <w:rsid w:val="00AA22FB"/>
    <w:rsid w:val="00AA376C"/>
    <w:rsid w:val="00AA4C33"/>
    <w:rsid w:val="00AA60F8"/>
    <w:rsid w:val="00AA65E1"/>
    <w:rsid w:val="00AA66CA"/>
    <w:rsid w:val="00AA7C9D"/>
    <w:rsid w:val="00AB0D67"/>
    <w:rsid w:val="00AB40C1"/>
    <w:rsid w:val="00AB4CDE"/>
    <w:rsid w:val="00AB6BC4"/>
    <w:rsid w:val="00AB79E5"/>
    <w:rsid w:val="00AC0F02"/>
    <w:rsid w:val="00AC2CD1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2261"/>
    <w:rsid w:val="00B071B8"/>
    <w:rsid w:val="00B100D0"/>
    <w:rsid w:val="00B10133"/>
    <w:rsid w:val="00B106AB"/>
    <w:rsid w:val="00B11EE5"/>
    <w:rsid w:val="00B121C9"/>
    <w:rsid w:val="00B122E0"/>
    <w:rsid w:val="00B12643"/>
    <w:rsid w:val="00B134D8"/>
    <w:rsid w:val="00B14AEF"/>
    <w:rsid w:val="00B21059"/>
    <w:rsid w:val="00B215DA"/>
    <w:rsid w:val="00B21875"/>
    <w:rsid w:val="00B22169"/>
    <w:rsid w:val="00B22BE1"/>
    <w:rsid w:val="00B23258"/>
    <w:rsid w:val="00B2448B"/>
    <w:rsid w:val="00B27EA4"/>
    <w:rsid w:val="00B30494"/>
    <w:rsid w:val="00B3311F"/>
    <w:rsid w:val="00B34BFB"/>
    <w:rsid w:val="00B415DF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36B"/>
    <w:rsid w:val="00B75B8B"/>
    <w:rsid w:val="00B7677A"/>
    <w:rsid w:val="00B7780D"/>
    <w:rsid w:val="00B814F6"/>
    <w:rsid w:val="00B8266A"/>
    <w:rsid w:val="00B83678"/>
    <w:rsid w:val="00B8417A"/>
    <w:rsid w:val="00B8467A"/>
    <w:rsid w:val="00B85D40"/>
    <w:rsid w:val="00B8611E"/>
    <w:rsid w:val="00B86D07"/>
    <w:rsid w:val="00B92B09"/>
    <w:rsid w:val="00B92ED0"/>
    <w:rsid w:val="00B92FFD"/>
    <w:rsid w:val="00B9315F"/>
    <w:rsid w:val="00B9376D"/>
    <w:rsid w:val="00B944A9"/>
    <w:rsid w:val="00B9491F"/>
    <w:rsid w:val="00B94EE8"/>
    <w:rsid w:val="00B953DF"/>
    <w:rsid w:val="00B95827"/>
    <w:rsid w:val="00B9736A"/>
    <w:rsid w:val="00BA0AA9"/>
    <w:rsid w:val="00BA1603"/>
    <w:rsid w:val="00BA1681"/>
    <w:rsid w:val="00BA1B5F"/>
    <w:rsid w:val="00BA2D2E"/>
    <w:rsid w:val="00BA3679"/>
    <w:rsid w:val="00BA3C29"/>
    <w:rsid w:val="00BB0B4B"/>
    <w:rsid w:val="00BB0C26"/>
    <w:rsid w:val="00BB153F"/>
    <w:rsid w:val="00BB2848"/>
    <w:rsid w:val="00BB2EAF"/>
    <w:rsid w:val="00BB5280"/>
    <w:rsid w:val="00BB5485"/>
    <w:rsid w:val="00BB5C52"/>
    <w:rsid w:val="00BC0A18"/>
    <w:rsid w:val="00BC2720"/>
    <w:rsid w:val="00BC310A"/>
    <w:rsid w:val="00BC3316"/>
    <w:rsid w:val="00BC33D5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200"/>
    <w:rsid w:val="00BD567E"/>
    <w:rsid w:val="00BD5A92"/>
    <w:rsid w:val="00BE084F"/>
    <w:rsid w:val="00BE2374"/>
    <w:rsid w:val="00BE240A"/>
    <w:rsid w:val="00BE2954"/>
    <w:rsid w:val="00BE451E"/>
    <w:rsid w:val="00BE5940"/>
    <w:rsid w:val="00BE7D0B"/>
    <w:rsid w:val="00BF012D"/>
    <w:rsid w:val="00BF0F14"/>
    <w:rsid w:val="00BF194C"/>
    <w:rsid w:val="00BF4333"/>
    <w:rsid w:val="00BF5736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148"/>
    <w:rsid w:val="00C11659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30954"/>
    <w:rsid w:val="00C31517"/>
    <w:rsid w:val="00C317C1"/>
    <w:rsid w:val="00C31CE1"/>
    <w:rsid w:val="00C32081"/>
    <w:rsid w:val="00C33872"/>
    <w:rsid w:val="00C342A8"/>
    <w:rsid w:val="00C36296"/>
    <w:rsid w:val="00C3673A"/>
    <w:rsid w:val="00C37A43"/>
    <w:rsid w:val="00C37BE8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3131"/>
    <w:rsid w:val="00C5560A"/>
    <w:rsid w:val="00C55FA4"/>
    <w:rsid w:val="00C564BD"/>
    <w:rsid w:val="00C60AF7"/>
    <w:rsid w:val="00C6215B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567A"/>
    <w:rsid w:val="00C865F5"/>
    <w:rsid w:val="00C9150B"/>
    <w:rsid w:val="00C91810"/>
    <w:rsid w:val="00C92D29"/>
    <w:rsid w:val="00C92EF0"/>
    <w:rsid w:val="00C93062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26C9"/>
    <w:rsid w:val="00CA2C6E"/>
    <w:rsid w:val="00CA5613"/>
    <w:rsid w:val="00CB1595"/>
    <w:rsid w:val="00CB1FAC"/>
    <w:rsid w:val="00CB259C"/>
    <w:rsid w:val="00CB41B0"/>
    <w:rsid w:val="00CB6419"/>
    <w:rsid w:val="00CB6696"/>
    <w:rsid w:val="00CB7D64"/>
    <w:rsid w:val="00CC0FFC"/>
    <w:rsid w:val="00CC203D"/>
    <w:rsid w:val="00CC2A1A"/>
    <w:rsid w:val="00CC385F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629"/>
    <w:rsid w:val="00CE7947"/>
    <w:rsid w:val="00CF0AD5"/>
    <w:rsid w:val="00CF1BB9"/>
    <w:rsid w:val="00CF2F4F"/>
    <w:rsid w:val="00CF32C0"/>
    <w:rsid w:val="00CF3DB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3D21"/>
    <w:rsid w:val="00D1461F"/>
    <w:rsid w:val="00D15F78"/>
    <w:rsid w:val="00D17A3E"/>
    <w:rsid w:val="00D20213"/>
    <w:rsid w:val="00D22C1C"/>
    <w:rsid w:val="00D2593E"/>
    <w:rsid w:val="00D2631B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70CCA"/>
    <w:rsid w:val="00D720B2"/>
    <w:rsid w:val="00D76776"/>
    <w:rsid w:val="00D77FFB"/>
    <w:rsid w:val="00D80C47"/>
    <w:rsid w:val="00D81B16"/>
    <w:rsid w:val="00D81D4E"/>
    <w:rsid w:val="00D821D7"/>
    <w:rsid w:val="00D84788"/>
    <w:rsid w:val="00D85173"/>
    <w:rsid w:val="00D85451"/>
    <w:rsid w:val="00D87952"/>
    <w:rsid w:val="00D87B1F"/>
    <w:rsid w:val="00D92C81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C57"/>
    <w:rsid w:val="00DB0794"/>
    <w:rsid w:val="00DB0B4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FA6"/>
    <w:rsid w:val="00DD5F9F"/>
    <w:rsid w:val="00DD740F"/>
    <w:rsid w:val="00DD7D11"/>
    <w:rsid w:val="00DE338F"/>
    <w:rsid w:val="00DE3C5E"/>
    <w:rsid w:val="00DE4676"/>
    <w:rsid w:val="00DE4C24"/>
    <w:rsid w:val="00DE5FD8"/>
    <w:rsid w:val="00DE60F0"/>
    <w:rsid w:val="00DE6808"/>
    <w:rsid w:val="00DE762D"/>
    <w:rsid w:val="00DF032E"/>
    <w:rsid w:val="00DF1DC1"/>
    <w:rsid w:val="00DF2FFE"/>
    <w:rsid w:val="00DF56A3"/>
    <w:rsid w:val="00DF751A"/>
    <w:rsid w:val="00E030D7"/>
    <w:rsid w:val="00E050F5"/>
    <w:rsid w:val="00E056CA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416F"/>
    <w:rsid w:val="00E178EF"/>
    <w:rsid w:val="00E17E1E"/>
    <w:rsid w:val="00E2069B"/>
    <w:rsid w:val="00E21962"/>
    <w:rsid w:val="00E22E37"/>
    <w:rsid w:val="00E2399B"/>
    <w:rsid w:val="00E25EE3"/>
    <w:rsid w:val="00E26DD3"/>
    <w:rsid w:val="00E307EC"/>
    <w:rsid w:val="00E31E61"/>
    <w:rsid w:val="00E3555E"/>
    <w:rsid w:val="00E37989"/>
    <w:rsid w:val="00E4023F"/>
    <w:rsid w:val="00E40774"/>
    <w:rsid w:val="00E427B7"/>
    <w:rsid w:val="00E42804"/>
    <w:rsid w:val="00E43566"/>
    <w:rsid w:val="00E43CAD"/>
    <w:rsid w:val="00E4459A"/>
    <w:rsid w:val="00E46071"/>
    <w:rsid w:val="00E460EF"/>
    <w:rsid w:val="00E46942"/>
    <w:rsid w:val="00E46954"/>
    <w:rsid w:val="00E469EC"/>
    <w:rsid w:val="00E50443"/>
    <w:rsid w:val="00E50AB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4B2"/>
    <w:rsid w:val="00E85050"/>
    <w:rsid w:val="00E8774A"/>
    <w:rsid w:val="00E90749"/>
    <w:rsid w:val="00E90E6F"/>
    <w:rsid w:val="00E9187E"/>
    <w:rsid w:val="00E92B00"/>
    <w:rsid w:val="00E93AAC"/>
    <w:rsid w:val="00E969BD"/>
    <w:rsid w:val="00E97139"/>
    <w:rsid w:val="00E9740D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F44"/>
    <w:rsid w:val="00EB184F"/>
    <w:rsid w:val="00EB2218"/>
    <w:rsid w:val="00EB38F9"/>
    <w:rsid w:val="00EB5015"/>
    <w:rsid w:val="00EB58DF"/>
    <w:rsid w:val="00EB66C9"/>
    <w:rsid w:val="00EB6E31"/>
    <w:rsid w:val="00EB7F3B"/>
    <w:rsid w:val="00EC0546"/>
    <w:rsid w:val="00EC1419"/>
    <w:rsid w:val="00EC20AF"/>
    <w:rsid w:val="00EC51AB"/>
    <w:rsid w:val="00EC611C"/>
    <w:rsid w:val="00EC6BE9"/>
    <w:rsid w:val="00EC7308"/>
    <w:rsid w:val="00ED0354"/>
    <w:rsid w:val="00ED0488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F06D8"/>
    <w:rsid w:val="00EF23A3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DAA"/>
    <w:rsid w:val="00F12FEC"/>
    <w:rsid w:val="00F155C8"/>
    <w:rsid w:val="00F1570C"/>
    <w:rsid w:val="00F1623B"/>
    <w:rsid w:val="00F164FE"/>
    <w:rsid w:val="00F1728F"/>
    <w:rsid w:val="00F17B92"/>
    <w:rsid w:val="00F17E2E"/>
    <w:rsid w:val="00F20189"/>
    <w:rsid w:val="00F20BB6"/>
    <w:rsid w:val="00F239FE"/>
    <w:rsid w:val="00F2427F"/>
    <w:rsid w:val="00F24D7B"/>
    <w:rsid w:val="00F276F9"/>
    <w:rsid w:val="00F27909"/>
    <w:rsid w:val="00F27BC8"/>
    <w:rsid w:val="00F30D25"/>
    <w:rsid w:val="00F36CBF"/>
    <w:rsid w:val="00F37270"/>
    <w:rsid w:val="00F3735C"/>
    <w:rsid w:val="00F4033B"/>
    <w:rsid w:val="00F41914"/>
    <w:rsid w:val="00F41970"/>
    <w:rsid w:val="00F41ABA"/>
    <w:rsid w:val="00F41D90"/>
    <w:rsid w:val="00F422DD"/>
    <w:rsid w:val="00F43360"/>
    <w:rsid w:val="00F43CC0"/>
    <w:rsid w:val="00F44A41"/>
    <w:rsid w:val="00F46844"/>
    <w:rsid w:val="00F500D0"/>
    <w:rsid w:val="00F51097"/>
    <w:rsid w:val="00F51145"/>
    <w:rsid w:val="00F518CB"/>
    <w:rsid w:val="00F52F94"/>
    <w:rsid w:val="00F53360"/>
    <w:rsid w:val="00F54476"/>
    <w:rsid w:val="00F54EEF"/>
    <w:rsid w:val="00F55990"/>
    <w:rsid w:val="00F56D18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4C8B"/>
    <w:rsid w:val="00F750F8"/>
    <w:rsid w:val="00F759FE"/>
    <w:rsid w:val="00F7719F"/>
    <w:rsid w:val="00F80939"/>
    <w:rsid w:val="00F811F1"/>
    <w:rsid w:val="00F81689"/>
    <w:rsid w:val="00F82106"/>
    <w:rsid w:val="00F82166"/>
    <w:rsid w:val="00F83D27"/>
    <w:rsid w:val="00F83E50"/>
    <w:rsid w:val="00F87032"/>
    <w:rsid w:val="00F872FF"/>
    <w:rsid w:val="00F91267"/>
    <w:rsid w:val="00F924E5"/>
    <w:rsid w:val="00F93DD5"/>
    <w:rsid w:val="00F94E20"/>
    <w:rsid w:val="00F94E66"/>
    <w:rsid w:val="00F9530E"/>
    <w:rsid w:val="00F958B1"/>
    <w:rsid w:val="00F964D0"/>
    <w:rsid w:val="00F96AAC"/>
    <w:rsid w:val="00F96E9F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6F35"/>
    <w:rsid w:val="00FC7FB5"/>
    <w:rsid w:val="00FD34DE"/>
    <w:rsid w:val="00FD455F"/>
    <w:rsid w:val="00FD4DFD"/>
    <w:rsid w:val="00FD5965"/>
    <w:rsid w:val="00FD5F82"/>
    <w:rsid w:val="00FD6812"/>
    <w:rsid w:val="00FE00D1"/>
    <w:rsid w:val="00FE0119"/>
    <w:rsid w:val="00FE1CEC"/>
    <w:rsid w:val="00FE2B0D"/>
    <w:rsid w:val="00FE509C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606464-93bd-41a0-bbcc-74d5e913a71b.filesusr.com/ugd/cda18c_60163a2ed6944908abec953161ea93e9.pdf" TargetMode="External"/><Relationship Id="rId13" Type="http://schemas.openxmlformats.org/officeDocument/2006/relationships/hyperlink" Target="https://19606464-93bd-41a0-bbcc-74d5e913a71b.filesusr.com/ugd/cda18c_2976c38ef9784a14bddcd818a000c1a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9606464-93bd-41a0-bbcc-74d5e913a71b.filesusr.com/ugd/cda18c_2976c38ef9784a14bddcd818a000c1a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9606464-93bd-41a0-bbcc-74d5e913a71b.filesusr.com/ugd/cda18c_274b201479844090840ee71b6fc929d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9606464-93bd-41a0-bbcc-74d5e913a71b.filesusr.com/ugd/cda18c_274b201479844090840ee71b6fc929d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9606464-93bd-41a0-bbcc-74d5e913a71b.filesusr.com/ugd/cda18c_60163a2ed6944908abec953161ea93e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922C-07A0-4302-8B16-CEFFEAAC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2021-09-17T19:00:00Z</cp:lastPrinted>
  <dcterms:created xsi:type="dcterms:W3CDTF">2021-09-17T19:01:00Z</dcterms:created>
  <dcterms:modified xsi:type="dcterms:W3CDTF">2021-09-17T19:01:00Z</dcterms:modified>
</cp:coreProperties>
</file>